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4E63" w14:textId="712AE440" w:rsidR="00437E76" w:rsidRPr="00E81EB5" w:rsidRDefault="00E81EB5" w:rsidP="00437E76">
      <w:pPr>
        <w:ind w:firstLine="567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 w:rsidRPr="00E81EB5">
        <w:rPr>
          <w:rFonts w:ascii="Times New Roman" w:hAnsi="Times New Roman" w:cs="Times New Roman"/>
          <w:sz w:val="26"/>
          <w:szCs w:val="26"/>
          <w:lang w:val="pt-PT"/>
        </w:rPr>
        <w:t>Notas sobre “</w:t>
      </w:r>
      <w:r w:rsidR="00437E76" w:rsidRPr="00E81EB5">
        <w:rPr>
          <w:rFonts w:ascii="Times New Roman" w:hAnsi="Times New Roman" w:cs="Times New Roman"/>
          <w:sz w:val="26"/>
          <w:szCs w:val="26"/>
          <w:lang w:val="pt-PT"/>
        </w:rPr>
        <w:t>Regulamento Harmonizado</w:t>
      </w:r>
      <w:r w:rsidRPr="00E81EB5">
        <w:rPr>
          <w:rFonts w:ascii="Times New Roman" w:hAnsi="Times New Roman" w:cs="Times New Roman"/>
          <w:sz w:val="26"/>
          <w:szCs w:val="26"/>
          <w:lang w:val="pt-PT"/>
        </w:rPr>
        <w:t>”</w:t>
      </w:r>
    </w:p>
    <w:p w14:paraId="754E6255" w14:textId="77777777" w:rsidR="00437E76" w:rsidRDefault="00437E76" w:rsidP="00A47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C317111" w14:textId="73955B40" w:rsidR="00437E76" w:rsidRDefault="00E81EB5" w:rsidP="00A47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Para além das demais, c</w:t>
      </w:r>
      <w:r w:rsidR="004F5E34">
        <w:rPr>
          <w:rFonts w:ascii="Times New Roman" w:hAnsi="Times New Roman" w:cs="Times New Roman"/>
          <w:sz w:val="24"/>
          <w:szCs w:val="24"/>
          <w:lang w:val="pt-PT"/>
        </w:rPr>
        <w:t>onsidero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 xml:space="preserve"> muito pertinentes as observações do Colega</w:t>
      </w:r>
      <w:r w:rsidR="00437E76" w:rsidRPr="00437E76">
        <w:rPr>
          <w:lang w:val="pt-PT"/>
        </w:rPr>
        <w:t xml:space="preserve"> </w:t>
      </w:r>
      <w:r w:rsidR="00437E76" w:rsidRPr="00437E76">
        <w:rPr>
          <w:rFonts w:ascii="Times New Roman" w:hAnsi="Times New Roman" w:cs="Times New Roman"/>
          <w:sz w:val="24"/>
          <w:szCs w:val="24"/>
          <w:lang w:val="pt-PT"/>
        </w:rPr>
        <w:t>Dr. Poças Falcão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 xml:space="preserve">, a cujo conteúdo adiro no essencial (embora talvez com um menor rigor, </w:t>
      </w:r>
      <w:proofErr w:type="spellStart"/>
      <w:r w:rsidR="00437E76">
        <w:rPr>
          <w:rFonts w:ascii="Times New Roman" w:hAnsi="Times New Roman" w:cs="Times New Roman"/>
          <w:sz w:val="24"/>
          <w:szCs w:val="24"/>
          <w:lang w:val="pt-PT"/>
        </w:rPr>
        <w:t>p.ex</w:t>
      </w:r>
      <w:proofErr w:type="spellEnd"/>
      <w:r w:rsidR="00437E76">
        <w:rPr>
          <w:rFonts w:ascii="Times New Roman" w:hAnsi="Times New Roman" w:cs="Times New Roman"/>
          <w:sz w:val="24"/>
          <w:szCs w:val="24"/>
          <w:lang w:val="pt-PT"/>
        </w:rPr>
        <w:t>., quanto</w:t>
      </w:r>
      <w:r w:rsidR="00437E76" w:rsidRPr="00437E76">
        <w:rPr>
          <w:lang w:val="pt-PT"/>
        </w:rPr>
        <w:t xml:space="preserve"> 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>à o</w:t>
      </w:r>
      <w:r w:rsidR="00437E76" w:rsidRPr="00437E76">
        <w:rPr>
          <w:rFonts w:ascii="Times New Roman" w:hAnsi="Times New Roman" w:cs="Times New Roman"/>
          <w:sz w:val="24"/>
          <w:szCs w:val="24"/>
          <w:lang w:val="pt-PT"/>
        </w:rPr>
        <w:t>brigatoriedade de patrocínio judiciário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>, sobretudo,</w:t>
      </w:r>
      <w:r w:rsidR="00437E76" w:rsidRPr="00437E7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>se as demandadas</w:t>
      </w:r>
      <w:r w:rsidR="00437E76" w:rsidRPr="00437E7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="00437E76" w:rsidRPr="00437E76">
        <w:rPr>
          <w:rFonts w:ascii="Times New Roman" w:hAnsi="Times New Roman" w:cs="Times New Roman"/>
          <w:sz w:val="24"/>
          <w:szCs w:val="24"/>
          <w:lang w:val="pt-PT"/>
        </w:rPr>
        <w:t>suscita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>rem certas</w:t>
      </w:r>
      <w:r w:rsidR="00437E76" w:rsidRPr="00437E76">
        <w:rPr>
          <w:rFonts w:ascii="Times New Roman" w:hAnsi="Times New Roman" w:cs="Times New Roman"/>
          <w:sz w:val="24"/>
          <w:szCs w:val="24"/>
          <w:lang w:val="pt-PT"/>
        </w:rPr>
        <w:t xml:space="preserve"> questões prévias e/ou </w:t>
      </w:r>
      <w:proofErr w:type="spellStart"/>
      <w:r w:rsidR="00437E76" w:rsidRPr="00437E76">
        <w:rPr>
          <w:rFonts w:ascii="Times New Roman" w:hAnsi="Times New Roman" w:cs="Times New Roman"/>
          <w:sz w:val="24"/>
          <w:szCs w:val="24"/>
          <w:lang w:val="pt-PT"/>
        </w:rPr>
        <w:t>exce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437E76" w:rsidRPr="00437E76">
        <w:rPr>
          <w:rFonts w:ascii="Times New Roman" w:hAnsi="Times New Roman" w:cs="Times New Roman"/>
          <w:sz w:val="24"/>
          <w:szCs w:val="24"/>
          <w:lang w:val="pt-PT"/>
        </w:rPr>
        <w:t>ções</w:t>
      </w:r>
      <w:proofErr w:type="spellEnd"/>
      <w:r w:rsidR="00437E76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E97925">
        <w:rPr>
          <w:rFonts w:ascii="Times New Roman" w:hAnsi="Times New Roman" w:cs="Times New Roman"/>
          <w:sz w:val="24"/>
          <w:szCs w:val="24"/>
          <w:lang w:val="pt-PT"/>
        </w:rPr>
        <w:t xml:space="preserve"> Assim é,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B7C4B">
        <w:rPr>
          <w:rFonts w:ascii="Times New Roman" w:hAnsi="Times New Roman" w:cs="Times New Roman"/>
          <w:sz w:val="24"/>
          <w:szCs w:val="24"/>
          <w:lang w:val="pt-PT"/>
        </w:rPr>
        <w:t>especial</w:t>
      </w:r>
      <w:r w:rsidR="00437E76">
        <w:rPr>
          <w:rFonts w:ascii="Times New Roman" w:hAnsi="Times New Roman" w:cs="Times New Roman"/>
          <w:sz w:val="24"/>
          <w:szCs w:val="24"/>
          <w:lang w:val="pt-PT"/>
        </w:rPr>
        <w:t>mente em relação a:</w:t>
      </w:r>
    </w:p>
    <w:p w14:paraId="4C9B861C" w14:textId="09022BF4" w:rsidR="00437E76" w:rsidRPr="00437E76" w:rsidRDefault="00437E76" w:rsidP="007255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437E76">
        <w:rPr>
          <w:lang w:val="pt-PT"/>
        </w:rPr>
        <w:t xml:space="preserve"> </w:t>
      </w:r>
      <w:r w:rsidR="00725594">
        <w:rPr>
          <w:rFonts w:ascii="Times New Roman" w:hAnsi="Times New Roman" w:cs="Times New Roman"/>
          <w:sz w:val="24"/>
          <w:szCs w:val="24"/>
          <w:u w:val="single"/>
          <w:lang w:val="pt-PT"/>
        </w:rPr>
        <w:t>R</w:t>
      </w:r>
      <w:r w:rsidR="00725594" w:rsidRPr="00725594">
        <w:rPr>
          <w:rFonts w:ascii="Times New Roman" w:hAnsi="Times New Roman" w:cs="Times New Roman"/>
          <w:sz w:val="24"/>
          <w:szCs w:val="24"/>
          <w:u w:val="single"/>
          <w:lang w:val="pt-PT"/>
        </w:rPr>
        <w:t>econvenção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 xml:space="preserve"> (i</w:t>
      </w:r>
      <w:r>
        <w:rPr>
          <w:rFonts w:ascii="Times New Roman" w:hAnsi="Times New Roman" w:cs="Times New Roman"/>
          <w:sz w:val="24"/>
          <w:szCs w:val="24"/>
          <w:lang w:val="pt-PT"/>
        </w:rPr>
        <w:t>nadmissibilidade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>parec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 xml:space="preserve">e que a </w:t>
      </w:r>
      <w:proofErr w:type="spellStart"/>
      <w:r w:rsidR="00725594">
        <w:rPr>
          <w:rFonts w:ascii="Times New Roman" w:hAnsi="Times New Roman" w:cs="Times New Roman"/>
          <w:sz w:val="24"/>
          <w:szCs w:val="24"/>
          <w:lang w:val="pt-PT"/>
        </w:rPr>
        <w:t>acção</w:t>
      </w:r>
      <w:proofErr w:type="spellEnd"/>
      <w:r w:rsidR="00725594">
        <w:rPr>
          <w:rFonts w:ascii="Times New Roman" w:hAnsi="Times New Roman" w:cs="Times New Roman"/>
          <w:sz w:val="24"/>
          <w:szCs w:val="24"/>
          <w:lang w:val="pt-PT"/>
        </w:rPr>
        <w:t xml:space="preserve"> cruzada do profissional em que se traduz a r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 xml:space="preserve">econvenção já 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con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rari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>ar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ia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="00725594" w:rsidRPr="00725594">
        <w:rPr>
          <w:rFonts w:ascii="Times New Roman" w:hAnsi="Times New Roman" w:cs="Times New Roman"/>
          <w:i/>
          <w:sz w:val="24"/>
          <w:szCs w:val="24"/>
          <w:lang w:val="pt-PT"/>
        </w:rPr>
        <w:t>ratio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 xml:space="preserve"> da Lei 24/96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 xml:space="preserve"> a lei 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«</w:t>
      </w:r>
      <w:r w:rsidR="00725594" w:rsidRPr="00725594">
        <w:rPr>
          <w:rFonts w:ascii="Times New Roman" w:hAnsi="Times New Roman" w:cs="Times New Roman"/>
          <w:i/>
          <w:sz w:val="24"/>
          <w:szCs w:val="24"/>
          <w:lang w:val="pt-PT"/>
        </w:rPr>
        <w:t>aplicável aos procedimentos de resolução extrajudicial de litígios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»,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«</w:t>
      </w:r>
      <w:r w:rsidR="00725594" w:rsidRPr="00725594">
        <w:rPr>
          <w:rFonts w:ascii="Times New Roman" w:hAnsi="Times New Roman" w:cs="Times New Roman"/>
          <w:i/>
          <w:sz w:val="24"/>
          <w:szCs w:val="24"/>
          <w:lang w:val="pt-PT"/>
        </w:rPr>
        <w:t>quando os mesmos sejam iniciados por um consumidor contra um fornecedor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»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 xml:space="preserve"> exclui do seu âmbito de aplicação 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«</w:t>
      </w:r>
      <w:r w:rsidR="00725594" w:rsidRPr="00725594">
        <w:rPr>
          <w:rFonts w:ascii="Times New Roman" w:hAnsi="Times New Roman" w:cs="Times New Roman"/>
          <w:i/>
          <w:sz w:val="24"/>
          <w:szCs w:val="24"/>
          <w:lang w:val="pt-PT"/>
        </w:rPr>
        <w:t>os litígios de fornecedores de bens ou prestadores de serviços contra consumidores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»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>. 2º da Lei n.º 144/2015</w:t>
      </w:r>
      <w:r w:rsidR="00725594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725594" w:rsidRPr="0072559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266FB95" w14:textId="62D48E37" w:rsidR="004F5E34" w:rsidRDefault="004F5E34" w:rsidP="002C0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697E5E">
        <w:rPr>
          <w:rFonts w:ascii="Times New Roman" w:hAnsi="Times New Roman" w:cs="Times New Roman"/>
          <w:sz w:val="24"/>
          <w:szCs w:val="24"/>
          <w:lang w:val="pt-PT"/>
        </w:rPr>
        <w:t xml:space="preserve">Utilidade da manutenção </w:t>
      </w:r>
      <w:r w:rsidR="00697E5E" w:rsidRPr="00697E5E">
        <w:rPr>
          <w:rFonts w:ascii="Times New Roman" w:hAnsi="Times New Roman" w:cs="Times New Roman"/>
          <w:sz w:val="24"/>
          <w:szCs w:val="24"/>
          <w:u w:val="single"/>
          <w:lang w:val="pt-PT"/>
        </w:rPr>
        <w:t>da remissão subsidiária para o regime do</w:t>
      </w:r>
      <w:r w:rsidR="00697E5E"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97E5E" w:rsidRPr="004F5E34">
        <w:rPr>
          <w:rFonts w:ascii="Times New Roman" w:hAnsi="Times New Roman" w:cs="Times New Roman"/>
          <w:sz w:val="24"/>
          <w:szCs w:val="24"/>
          <w:u w:val="single"/>
          <w:lang w:val="pt-PT"/>
        </w:rPr>
        <w:t>CPC</w:t>
      </w:r>
      <w:r w:rsidR="00697E5E"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, na fase de arbitragem, </w:t>
      </w:r>
      <w:r w:rsidR="00697E5E">
        <w:rPr>
          <w:rFonts w:ascii="Times New Roman" w:hAnsi="Times New Roman" w:cs="Times New Roman"/>
          <w:sz w:val="24"/>
          <w:szCs w:val="24"/>
          <w:lang w:val="pt-PT"/>
        </w:rPr>
        <w:t>u</w:t>
      </w:r>
      <w:r w:rsidR="007B7C31">
        <w:rPr>
          <w:rFonts w:ascii="Times New Roman" w:hAnsi="Times New Roman" w:cs="Times New Roman"/>
          <w:sz w:val="24"/>
          <w:szCs w:val="24"/>
          <w:lang w:val="pt-PT"/>
        </w:rPr>
        <w:t xml:space="preserve">ma vez ressalvadas </w:t>
      </w:r>
      <w:r w:rsidR="007B7C31"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as devidas adaptações impostas pela natureza marcadamente abreviada e informal do </w:t>
      </w:r>
      <w:r w:rsidR="007B7C31">
        <w:rPr>
          <w:rFonts w:ascii="Times New Roman" w:hAnsi="Times New Roman" w:cs="Times New Roman"/>
          <w:sz w:val="24"/>
          <w:szCs w:val="24"/>
          <w:lang w:val="pt-PT"/>
        </w:rPr>
        <w:t xml:space="preserve">procedimento, </w:t>
      </w:r>
      <w:r w:rsidR="00697E5E">
        <w:rPr>
          <w:rFonts w:ascii="Times New Roman" w:hAnsi="Times New Roman" w:cs="Times New Roman"/>
          <w:sz w:val="24"/>
          <w:szCs w:val="24"/>
          <w:lang w:val="pt-PT"/>
        </w:rPr>
        <w:t>e que</w:t>
      </w:r>
      <w:r w:rsidR="007B7C3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parece 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ressaltar </w:t>
      </w:r>
      <w:r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2C04CF" w:rsidRPr="002C04C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desnecessidade de repetir no “Regulamento” a consagração de princípios 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 xml:space="preserve">regras </w:t>
      </w:r>
      <w:r w:rsidR="007B7C31">
        <w:rPr>
          <w:rFonts w:ascii="Times New Roman" w:hAnsi="Times New Roman" w:cs="Times New Roman"/>
          <w:sz w:val="24"/>
          <w:szCs w:val="24"/>
          <w:lang w:val="pt-PT"/>
        </w:rPr>
        <w:t xml:space="preserve">tais 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>como</w:t>
      </w:r>
      <w:r w:rsidR="00697E5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 p. ex.: (i)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B7C31">
        <w:rPr>
          <w:rFonts w:ascii="Times New Roman" w:hAnsi="Times New Roman" w:cs="Times New Roman"/>
          <w:sz w:val="24"/>
          <w:szCs w:val="24"/>
          <w:lang w:val="pt-PT"/>
        </w:rPr>
        <w:t xml:space="preserve">sobre </w:t>
      </w:r>
      <w:r>
        <w:rPr>
          <w:rFonts w:ascii="Times New Roman" w:hAnsi="Times New Roman" w:cs="Times New Roman"/>
          <w:sz w:val="24"/>
          <w:szCs w:val="24"/>
          <w:lang w:val="pt-PT"/>
        </w:rPr>
        <w:t>o tratamento equitativo das partes, o contraditório,</w:t>
      </w:r>
      <w:r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 a adequação formal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o dispositivo</w:t>
      </w:r>
      <w:r w:rsidR="007B7C31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>, quanto a este, os mecanismos para o mitigar/adequar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em especial os previstos no </w:t>
      </w:r>
      <w:proofErr w:type="spellStart"/>
      <w:r w:rsidR="002C04CF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2C04CF">
        <w:rPr>
          <w:rFonts w:ascii="Times New Roman" w:hAnsi="Times New Roman" w:cs="Times New Roman"/>
          <w:sz w:val="24"/>
          <w:szCs w:val="24"/>
          <w:lang w:val="pt-PT"/>
        </w:rPr>
        <w:t>. 5º do CPC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>; (</w:t>
      </w:r>
      <w:proofErr w:type="spellStart"/>
      <w:r w:rsidR="002C04CF">
        <w:rPr>
          <w:rFonts w:ascii="Times New Roman" w:hAnsi="Times New Roman" w:cs="Times New Roman"/>
          <w:sz w:val="24"/>
          <w:szCs w:val="24"/>
          <w:lang w:val="pt-PT"/>
        </w:rPr>
        <w:t>ii</w:t>
      </w:r>
      <w:proofErr w:type="spellEnd"/>
      <w:r w:rsidR="002C04CF">
        <w:rPr>
          <w:rFonts w:ascii="Times New Roman" w:hAnsi="Times New Roman" w:cs="Times New Roman"/>
          <w:sz w:val="24"/>
          <w:szCs w:val="24"/>
          <w:lang w:val="pt-PT"/>
        </w:rPr>
        <w:t>) o c</w:t>
      </w:r>
      <w:r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onhecimento 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(oficioso ou não) </w:t>
      </w:r>
      <w:r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proofErr w:type="spellStart"/>
      <w:r w:rsidRPr="004F5E34">
        <w:rPr>
          <w:rFonts w:ascii="Times New Roman" w:hAnsi="Times New Roman" w:cs="Times New Roman"/>
          <w:sz w:val="24"/>
          <w:szCs w:val="24"/>
          <w:lang w:val="pt-PT"/>
        </w:rPr>
        <w:t>excepções</w:t>
      </w:r>
      <w:proofErr w:type="spellEnd"/>
      <w:r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 processuais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>; (</w:t>
      </w:r>
      <w:proofErr w:type="spellStart"/>
      <w:r w:rsidR="002C04CF">
        <w:rPr>
          <w:rFonts w:ascii="Times New Roman" w:hAnsi="Times New Roman" w:cs="Times New Roman"/>
          <w:sz w:val="24"/>
          <w:szCs w:val="24"/>
          <w:lang w:val="pt-PT"/>
        </w:rPr>
        <w:t>iii</w:t>
      </w:r>
      <w:proofErr w:type="spellEnd"/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sobre 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determinados </w:t>
      </w:r>
      <w:proofErr w:type="spellStart"/>
      <w:r w:rsidR="002C04CF">
        <w:rPr>
          <w:rFonts w:ascii="Times New Roman" w:hAnsi="Times New Roman" w:cs="Times New Roman"/>
          <w:sz w:val="24"/>
          <w:szCs w:val="24"/>
          <w:lang w:val="pt-PT"/>
        </w:rPr>
        <w:t>aspectos</w:t>
      </w:r>
      <w:proofErr w:type="spellEnd"/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 da </w:t>
      </w:r>
      <w:r w:rsidRPr="004F5E34">
        <w:rPr>
          <w:rFonts w:ascii="Times New Roman" w:hAnsi="Times New Roman" w:cs="Times New Roman"/>
          <w:sz w:val="24"/>
          <w:szCs w:val="24"/>
          <w:lang w:val="pt-PT"/>
        </w:rPr>
        <w:t>produção d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4F5E34">
        <w:rPr>
          <w:rFonts w:ascii="Times New Roman" w:hAnsi="Times New Roman" w:cs="Times New Roman"/>
          <w:sz w:val="24"/>
          <w:szCs w:val="24"/>
          <w:lang w:val="pt-PT"/>
        </w:rPr>
        <w:t xml:space="preserve"> prova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>; (</w:t>
      </w:r>
      <w:proofErr w:type="spellStart"/>
      <w:r w:rsidR="002C04CF">
        <w:rPr>
          <w:rFonts w:ascii="Times New Roman" w:hAnsi="Times New Roman" w:cs="Times New Roman"/>
          <w:sz w:val="24"/>
          <w:szCs w:val="24"/>
          <w:lang w:val="pt-PT"/>
        </w:rPr>
        <w:t>iv</w:t>
      </w:r>
      <w:proofErr w:type="spellEnd"/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="00E676B1">
        <w:rPr>
          <w:rFonts w:ascii="Times New Roman" w:hAnsi="Times New Roman" w:cs="Times New Roman"/>
          <w:sz w:val="24"/>
          <w:szCs w:val="24"/>
          <w:lang w:val="pt-PT"/>
        </w:rPr>
        <w:t xml:space="preserve">sobre a extinção do poder jurisdicional do juiz; 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E676B1">
        <w:rPr>
          <w:rFonts w:ascii="Times New Roman" w:hAnsi="Times New Roman" w:cs="Times New Roman"/>
          <w:sz w:val="24"/>
          <w:szCs w:val="24"/>
          <w:lang w:val="pt-PT"/>
        </w:rPr>
        <w:t xml:space="preserve">(v) 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sobre a tramitação da </w:t>
      </w:r>
      <w:r w:rsidR="00E676B1">
        <w:rPr>
          <w:rFonts w:ascii="Times New Roman" w:hAnsi="Times New Roman" w:cs="Times New Roman"/>
          <w:sz w:val="24"/>
          <w:szCs w:val="24"/>
          <w:lang w:val="pt-PT"/>
        </w:rPr>
        <w:t xml:space="preserve">reclamação de nulidades e a 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(agora prevista) impugnação da 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 xml:space="preserve">decisão </w:t>
      </w:r>
      <w:r w:rsidR="007B7C31">
        <w:rPr>
          <w:rFonts w:ascii="Times New Roman" w:hAnsi="Times New Roman" w:cs="Times New Roman"/>
          <w:sz w:val="24"/>
          <w:szCs w:val="24"/>
          <w:lang w:val="pt-PT"/>
        </w:rPr>
        <w:t>perante as relações</w:t>
      </w:r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, após a </w:t>
      </w:r>
      <w:proofErr w:type="spellStart"/>
      <w:r w:rsidR="002C04CF">
        <w:rPr>
          <w:rFonts w:ascii="Times New Roman" w:hAnsi="Times New Roman" w:cs="Times New Roman"/>
          <w:sz w:val="24"/>
          <w:szCs w:val="24"/>
          <w:lang w:val="pt-PT"/>
        </w:rPr>
        <w:t>respectiva</w:t>
      </w:r>
      <w:proofErr w:type="spellEnd"/>
      <w:r w:rsidR="002C04CF">
        <w:rPr>
          <w:rFonts w:ascii="Times New Roman" w:hAnsi="Times New Roman" w:cs="Times New Roman"/>
          <w:sz w:val="24"/>
          <w:szCs w:val="24"/>
          <w:lang w:val="pt-PT"/>
        </w:rPr>
        <w:t xml:space="preserve"> prolação.</w:t>
      </w:r>
    </w:p>
    <w:p w14:paraId="3C300FBC" w14:textId="01ABCCDC" w:rsidR="00E97925" w:rsidRPr="004F5E34" w:rsidRDefault="00E97925" w:rsidP="002C0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874F40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companhamento na formulação da</w:t>
      </w:r>
      <w:r w:rsidRPr="00E97925">
        <w:rPr>
          <w:rFonts w:ascii="Times New Roman" w:hAnsi="Times New Roman" w:cs="Times New Roman"/>
          <w:sz w:val="24"/>
          <w:szCs w:val="24"/>
          <w:lang w:val="pt-PT"/>
        </w:rPr>
        <w:t xml:space="preserve"> reclamação do consumidor por </w:t>
      </w:r>
      <w:r w:rsidRPr="00697E5E">
        <w:rPr>
          <w:rFonts w:ascii="Times New Roman" w:hAnsi="Times New Roman" w:cs="Times New Roman"/>
          <w:sz w:val="24"/>
          <w:szCs w:val="24"/>
          <w:u w:val="single"/>
          <w:lang w:val="pt-PT"/>
        </w:rPr>
        <w:t>jurista</w:t>
      </w:r>
      <w:r w:rsidR="007B7C31">
        <w:rPr>
          <w:rFonts w:ascii="Times New Roman" w:hAnsi="Times New Roman" w:cs="Times New Roman"/>
          <w:sz w:val="24"/>
          <w:szCs w:val="24"/>
          <w:lang w:val="pt-PT"/>
        </w:rPr>
        <w:t>, que</w:t>
      </w:r>
      <w:r w:rsidRPr="00E97925">
        <w:rPr>
          <w:rFonts w:ascii="Times New Roman" w:hAnsi="Times New Roman" w:cs="Times New Roman"/>
          <w:sz w:val="24"/>
          <w:szCs w:val="24"/>
          <w:lang w:val="pt-PT"/>
        </w:rPr>
        <w:t xml:space="preserve"> em nada contende com a independência do juiz árbitro</w:t>
      </w:r>
      <w:r w:rsidR="00697E5E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Pr="00E97925">
        <w:rPr>
          <w:rFonts w:ascii="Times New Roman" w:hAnsi="Times New Roman" w:cs="Times New Roman"/>
          <w:sz w:val="24"/>
          <w:szCs w:val="24"/>
          <w:lang w:val="pt-PT"/>
        </w:rPr>
        <w:t>a única a preservar</w:t>
      </w:r>
      <w:r w:rsidR="00697E5E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874F40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874F40">
        <w:rPr>
          <w:rFonts w:ascii="Times New Roman" w:hAnsi="Times New Roman" w:cs="Times New Roman"/>
          <w:sz w:val="24"/>
          <w:szCs w:val="24"/>
          <w:lang w:val="pt-PT"/>
        </w:rPr>
        <w:t>e nada adianta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>ndo para o efeito pretendido</w:t>
      </w:r>
      <w:r w:rsidR="00874F40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="00874F40" w:rsidRPr="00874F40">
        <w:rPr>
          <w:rFonts w:ascii="Times New Roman" w:hAnsi="Times New Roman" w:cs="Times New Roman"/>
          <w:sz w:val="24"/>
          <w:szCs w:val="24"/>
          <w:lang w:val="pt-PT"/>
        </w:rPr>
        <w:t>verifica</w:t>
      </w:r>
      <w:r w:rsidR="00874F40">
        <w:rPr>
          <w:rFonts w:ascii="Times New Roman" w:hAnsi="Times New Roman" w:cs="Times New Roman"/>
          <w:sz w:val="24"/>
          <w:szCs w:val="24"/>
          <w:lang w:val="pt-PT"/>
        </w:rPr>
        <w:t>ção da</w:t>
      </w:r>
      <w:r w:rsidR="00874F40" w:rsidRPr="00874F40">
        <w:rPr>
          <w:rFonts w:ascii="Times New Roman" w:hAnsi="Times New Roman" w:cs="Times New Roman"/>
          <w:sz w:val="24"/>
          <w:szCs w:val="24"/>
          <w:lang w:val="pt-PT"/>
        </w:rPr>
        <w:t xml:space="preserve"> conformidade formal</w:t>
      </w:r>
      <w:r w:rsidR="00874F40">
        <w:rPr>
          <w:rFonts w:ascii="Times New Roman" w:hAnsi="Times New Roman" w:cs="Times New Roman"/>
          <w:sz w:val="24"/>
          <w:szCs w:val="24"/>
          <w:lang w:val="pt-PT"/>
        </w:rPr>
        <w:t xml:space="preserve"> prevista no </w:t>
      </w:r>
      <w:proofErr w:type="spellStart"/>
      <w:r w:rsidR="00874F40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874F40">
        <w:rPr>
          <w:rFonts w:ascii="Times New Roman" w:hAnsi="Times New Roman" w:cs="Times New Roman"/>
          <w:sz w:val="24"/>
          <w:szCs w:val="24"/>
          <w:lang w:val="pt-PT"/>
        </w:rPr>
        <w:t>. 14º/4</w:t>
      </w:r>
      <w:r w:rsidR="00800707">
        <w:rPr>
          <w:rFonts w:ascii="Times New Roman" w:hAnsi="Times New Roman" w:cs="Times New Roman"/>
          <w:sz w:val="24"/>
          <w:szCs w:val="24"/>
          <w:lang w:val="pt-PT"/>
        </w:rPr>
        <w:t xml:space="preserve"> do </w:t>
      </w:r>
      <w:proofErr w:type="spellStart"/>
      <w:r w:rsidR="00800707">
        <w:rPr>
          <w:rFonts w:ascii="Times New Roman" w:hAnsi="Times New Roman" w:cs="Times New Roman"/>
          <w:sz w:val="24"/>
          <w:szCs w:val="24"/>
          <w:lang w:val="pt-PT"/>
        </w:rPr>
        <w:t>anteprojecto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BD64ADC" w14:textId="77777777" w:rsidR="007B7C31" w:rsidRPr="007B7C31" w:rsidRDefault="007B7C31" w:rsidP="007B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  <w:lang w:val="pt-PT"/>
        </w:rPr>
      </w:pPr>
    </w:p>
    <w:p w14:paraId="0372B19F" w14:textId="302352EE" w:rsidR="007B7C31" w:rsidRDefault="007B7C31" w:rsidP="004F5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Coloco, ainda</w:t>
      </w:r>
      <w:r w:rsidR="00C82873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 apreciação </w:t>
      </w:r>
      <w:r w:rsidRPr="007B7C31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seguintes </w:t>
      </w:r>
      <w:r w:rsidRPr="007B7C31">
        <w:rPr>
          <w:rFonts w:ascii="Times New Roman" w:hAnsi="Times New Roman" w:cs="Times New Roman"/>
          <w:sz w:val="24"/>
          <w:szCs w:val="24"/>
          <w:lang w:val="pt-PT"/>
        </w:rPr>
        <w:t>notas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complementares</w:t>
      </w:r>
      <w:r w:rsidR="00697E5E">
        <w:rPr>
          <w:rFonts w:ascii="Times New Roman" w:hAnsi="Times New Roman" w:cs="Times New Roman"/>
          <w:sz w:val="24"/>
          <w:szCs w:val="24"/>
          <w:lang w:val="pt-PT"/>
        </w:rPr>
        <w:t xml:space="preserve"> sobre o </w:t>
      </w:r>
      <w:proofErr w:type="spellStart"/>
      <w:r w:rsidR="00697E5E">
        <w:rPr>
          <w:rFonts w:ascii="Times New Roman" w:hAnsi="Times New Roman" w:cs="Times New Roman"/>
          <w:sz w:val="24"/>
          <w:szCs w:val="24"/>
          <w:lang w:val="pt-PT"/>
        </w:rPr>
        <w:t>anteprojecto</w:t>
      </w:r>
      <w:proofErr w:type="spellEnd"/>
      <w:r w:rsidR="00D87B76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67161D82" w14:textId="1D5D712B" w:rsidR="00C82873" w:rsidRDefault="00C82873" w:rsidP="004F5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Em geral</w:t>
      </w:r>
      <w:r w:rsidR="00800707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seria de expurgar o “Regulamento” 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sua parte constituída pela mera reprodução de normas legais, não apenas 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 xml:space="preserve">pela conhecida instabilidade do nosso legislador como </w:t>
      </w:r>
      <w:r>
        <w:rPr>
          <w:rFonts w:ascii="Times New Roman" w:hAnsi="Times New Roman" w:cs="Times New Roman"/>
          <w:sz w:val="24"/>
          <w:szCs w:val="24"/>
          <w:lang w:val="pt-PT"/>
        </w:rPr>
        <w:t>pela sua aparente inutilidade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>, tal como sucede</w:t>
      </w:r>
      <w:r w:rsidR="00800707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>sobretudo</w:t>
      </w:r>
      <w:r w:rsidR="00800707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274A3" w:rsidRPr="00BB7C4B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="00874F40" w:rsidRPr="00BB7C4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274A3" w:rsidRPr="00BB7C4B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8274A3" w:rsidRPr="00BB7C4B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conteúdo do </w:t>
      </w:r>
      <w:proofErr w:type="spellStart"/>
      <w:r w:rsidR="008274A3" w:rsidRPr="00BB7C4B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8274A3">
        <w:rPr>
          <w:rFonts w:ascii="Times New Roman" w:hAnsi="Times New Roman" w:cs="Times New Roman"/>
          <w:sz w:val="24"/>
          <w:szCs w:val="24"/>
          <w:lang w:val="pt-PT"/>
        </w:rPr>
        <w:t>. 10º</w:t>
      </w:r>
      <w:r w:rsidR="00BB7C4B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8274A3" w:rsidRPr="008274A3">
        <w:rPr>
          <w:rFonts w:ascii="Times New Roman" w:hAnsi="Times New Roman" w:cs="Times New Roman"/>
          <w:i/>
          <w:sz w:val="24"/>
          <w:szCs w:val="24"/>
          <w:lang w:val="pt-PT"/>
        </w:rPr>
        <w:t>maxime</w:t>
      </w:r>
      <w:proofErr w:type="spellEnd"/>
      <w:r w:rsidR="008274A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BB7C4B">
        <w:rPr>
          <w:rFonts w:ascii="Times New Roman" w:hAnsi="Times New Roman" w:cs="Times New Roman"/>
          <w:sz w:val="24"/>
          <w:szCs w:val="24"/>
          <w:lang w:val="pt-PT"/>
        </w:rPr>
        <w:t xml:space="preserve">com 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 xml:space="preserve">a alusão aos </w:t>
      </w:r>
      <w:r w:rsidR="008274A3" w:rsidRPr="008274A3">
        <w:rPr>
          <w:rFonts w:ascii="Times New Roman" w:hAnsi="Times New Roman" w:cs="Times New Roman"/>
          <w:sz w:val="24"/>
          <w:szCs w:val="24"/>
          <w:lang w:val="pt-PT"/>
        </w:rPr>
        <w:t>litígios de natureza criminal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 xml:space="preserve"> e ao</w:t>
      </w:r>
      <w:r w:rsidR="008274A3" w:rsidRPr="008274A3">
        <w:rPr>
          <w:lang w:val="pt-PT"/>
        </w:rPr>
        <w:t xml:space="preserve"> </w:t>
      </w:r>
      <w:r w:rsidR="008274A3" w:rsidRPr="008274A3">
        <w:rPr>
          <w:rFonts w:ascii="Times New Roman" w:hAnsi="Times New Roman" w:cs="Times New Roman"/>
          <w:sz w:val="24"/>
          <w:szCs w:val="24"/>
          <w:lang w:val="pt-PT"/>
        </w:rPr>
        <w:t>contrato a favor de terceiro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 xml:space="preserve"> (quanto a est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>, aliás, a referência à transmissão</w:t>
      </w:r>
      <w:r w:rsidR="009377A8" w:rsidRPr="009377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377A8" w:rsidRPr="00C82873">
        <w:rPr>
          <w:rFonts w:ascii="Times New Roman" w:hAnsi="Times New Roman" w:cs="Times New Roman"/>
          <w:sz w:val="24"/>
          <w:szCs w:val="24"/>
          <w:lang w:val="pt-PT"/>
        </w:rPr>
        <w:t>ao terceiro adquirente do bem</w:t>
      </w:r>
      <w:r w:rsidR="009377A8">
        <w:rPr>
          <w:rFonts w:ascii="Times New Roman" w:hAnsi="Times New Roman" w:cs="Times New Roman"/>
          <w:sz w:val="24"/>
          <w:szCs w:val="24"/>
          <w:lang w:val="pt-PT"/>
        </w:rPr>
        <w:t xml:space="preserve"> prevista no nº 10 do </w:t>
      </w:r>
      <w:proofErr w:type="spellStart"/>
      <w:r w:rsidR="009377A8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9377A8">
        <w:rPr>
          <w:rFonts w:ascii="Times New Roman" w:hAnsi="Times New Roman" w:cs="Times New Roman"/>
          <w:sz w:val="24"/>
          <w:szCs w:val="24"/>
          <w:lang w:val="pt-PT"/>
        </w:rPr>
        <w:t>. 15º do DL 84/2021 sempre teria maior alcance prático</w:t>
      </w:r>
      <w:r w:rsidR="008274A3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9377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?</w:t>
      </w:r>
    </w:p>
    <w:p w14:paraId="31053C08" w14:textId="4781A7A8" w:rsidR="00D87B76" w:rsidRDefault="00D87B76" w:rsidP="004F5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r w:rsidR="00C80A2A">
        <w:rPr>
          <w:rFonts w:ascii="Times New Roman" w:hAnsi="Times New Roman" w:cs="Times New Roman"/>
          <w:sz w:val="24"/>
          <w:szCs w:val="24"/>
          <w:lang w:val="pt-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5</w:t>
      </w:r>
      <w:r w:rsidR="00C82873">
        <w:rPr>
          <w:rFonts w:ascii="Times New Roman" w:hAnsi="Times New Roman" w:cs="Times New Roman"/>
          <w:sz w:val="24"/>
          <w:szCs w:val="24"/>
          <w:lang w:val="pt-PT"/>
        </w:rPr>
        <w:t>º</w:t>
      </w:r>
      <w:r w:rsidR="00C80A2A">
        <w:rPr>
          <w:rFonts w:ascii="Times New Roman" w:hAnsi="Times New Roman" w:cs="Times New Roman"/>
          <w:sz w:val="24"/>
          <w:szCs w:val="24"/>
          <w:lang w:val="pt-PT"/>
        </w:rPr>
        <w:t xml:space="preserve"> e 21º</w:t>
      </w:r>
      <w:r>
        <w:rPr>
          <w:rFonts w:ascii="Times New Roman" w:hAnsi="Times New Roman" w:cs="Times New Roman"/>
          <w:sz w:val="24"/>
          <w:szCs w:val="24"/>
          <w:lang w:val="pt-PT"/>
        </w:rPr>
        <w:t>: estando nós perante mecanismos institucionalizados de resolução de</w:t>
      </w:r>
      <w:r w:rsidRPr="00D87B76">
        <w:rPr>
          <w:lang w:val="pt-PT"/>
        </w:rPr>
        <w:t xml:space="preserve"> </w:t>
      </w:r>
      <w:r w:rsidRPr="00D87B76">
        <w:rPr>
          <w:rFonts w:ascii="Times New Roman" w:hAnsi="Times New Roman" w:cs="Times New Roman"/>
          <w:sz w:val="24"/>
          <w:szCs w:val="24"/>
          <w:lang w:val="pt-PT"/>
        </w:rPr>
        <w:t>conflitos de consumo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iniciados por consumidores, não deveriam recair sobre as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respectivas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estruturas de suporte as despesas</w:t>
      </w:r>
      <w:r w:rsidRPr="00D87B76">
        <w:rPr>
          <w:lang w:val="pt-PT"/>
        </w:rPr>
        <w:t xml:space="preserve"> </w:t>
      </w:r>
      <w:r w:rsidRPr="00D87B76">
        <w:rPr>
          <w:rFonts w:ascii="Times New Roman" w:hAnsi="Times New Roman" w:cs="Times New Roman"/>
          <w:sz w:val="24"/>
          <w:szCs w:val="24"/>
          <w:lang w:val="pt-PT"/>
        </w:rPr>
        <w:t xml:space="preserve">com </w:t>
      </w:r>
      <w:r>
        <w:rPr>
          <w:rFonts w:ascii="Times New Roman" w:hAnsi="Times New Roman" w:cs="Times New Roman"/>
          <w:sz w:val="24"/>
          <w:szCs w:val="24"/>
          <w:lang w:val="pt-PT"/>
        </w:rPr>
        <w:t>a realização de</w:t>
      </w:r>
      <w:r w:rsidRPr="00D87B76">
        <w:rPr>
          <w:rFonts w:ascii="Times New Roman" w:hAnsi="Times New Roman" w:cs="Times New Roman"/>
          <w:sz w:val="24"/>
          <w:szCs w:val="24"/>
          <w:lang w:val="pt-PT"/>
        </w:rPr>
        <w:t xml:space="preserve"> meios de prova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determinada oficiosamente?</w:t>
      </w:r>
    </w:p>
    <w:p w14:paraId="105644F2" w14:textId="031CAEDF" w:rsidR="009377A8" w:rsidRDefault="00D87B76" w:rsidP="009377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9</w:t>
      </w:r>
      <w:r w:rsidR="00C82873">
        <w:rPr>
          <w:rFonts w:ascii="Times New Roman" w:hAnsi="Times New Roman" w:cs="Times New Roman"/>
          <w:sz w:val="24"/>
          <w:szCs w:val="24"/>
          <w:lang w:val="pt-PT"/>
        </w:rPr>
        <w:t>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9377A8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9377A8" w:rsidRPr="00D87B76">
        <w:rPr>
          <w:rFonts w:ascii="Times New Roman" w:hAnsi="Times New Roman" w:cs="Times New Roman"/>
          <w:sz w:val="24"/>
          <w:szCs w:val="24"/>
          <w:lang w:val="pt-PT"/>
        </w:rPr>
        <w:t>assist</w:t>
      </w:r>
      <w:r w:rsidR="009377A8">
        <w:rPr>
          <w:rFonts w:ascii="Times New Roman" w:hAnsi="Times New Roman" w:cs="Times New Roman"/>
          <w:sz w:val="24"/>
          <w:szCs w:val="24"/>
          <w:lang w:val="pt-PT"/>
        </w:rPr>
        <w:t xml:space="preserve">ência (com participação </w:t>
      </w:r>
      <w:proofErr w:type="spellStart"/>
      <w:r w:rsidR="009377A8">
        <w:rPr>
          <w:rFonts w:ascii="Times New Roman" w:hAnsi="Times New Roman" w:cs="Times New Roman"/>
          <w:sz w:val="24"/>
          <w:szCs w:val="24"/>
          <w:lang w:val="pt-PT"/>
        </w:rPr>
        <w:t>activa</w:t>
      </w:r>
      <w:proofErr w:type="spellEnd"/>
      <w:r w:rsidR="009377A8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9377A8" w:rsidRPr="00D87B7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377A8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9377A8" w:rsidRPr="00D87B76">
        <w:rPr>
          <w:rFonts w:ascii="Times New Roman" w:hAnsi="Times New Roman" w:cs="Times New Roman"/>
          <w:sz w:val="24"/>
          <w:szCs w:val="24"/>
          <w:lang w:val="pt-PT"/>
        </w:rPr>
        <w:t xml:space="preserve">e juristas </w:t>
      </w:r>
      <w:r w:rsidR="009377A8">
        <w:rPr>
          <w:rFonts w:ascii="Times New Roman" w:hAnsi="Times New Roman" w:cs="Times New Roman"/>
          <w:sz w:val="24"/>
          <w:szCs w:val="24"/>
          <w:lang w:val="pt-PT"/>
        </w:rPr>
        <w:t xml:space="preserve">não inscritos na </w:t>
      </w:r>
      <w:proofErr w:type="spellStart"/>
      <w:proofErr w:type="gramStart"/>
      <w:r w:rsidR="009377A8">
        <w:rPr>
          <w:rFonts w:ascii="Times New Roman" w:hAnsi="Times New Roman" w:cs="Times New Roman"/>
          <w:sz w:val="24"/>
          <w:szCs w:val="24"/>
          <w:lang w:val="pt-PT"/>
        </w:rPr>
        <w:t>O.Advogados</w:t>
      </w:r>
      <w:proofErr w:type="spellEnd"/>
      <w:proofErr w:type="gramEnd"/>
      <w:r w:rsidR="009377A8">
        <w:rPr>
          <w:rFonts w:ascii="Times New Roman" w:hAnsi="Times New Roman" w:cs="Times New Roman"/>
          <w:sz w:val="24"/>
          <w:szCs w:val="24"/>
          <w:lang w:val="pt-PT"/>
        </w:rPr>
        <w:t xml:space="preserve"> não contenderá (controversamente) com as regras que disciplinam o exercício da advocacia?</w:t>
      </w:r>
    </w:p>
    <w:p w14:paraId="3A0B94C5" w14:textId="521A2571" w:rsidR="009377A8" w:rsidRDefault="009377A8" w:rsidP="004F5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. 10º/6: </w:t>
      </w:r>
      <w:r w:rsidR="00D87B76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0B3647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recusa de litígios não deveria incumbir ao juiz, por melhor se compatibilizar com o exercício dum poder jurisdicional?</w:t>
      </w:r>
    </w:p>
    <w:p w14:paraId="2FFE93FF" w14:textId="42CD4F20" w:rsidR="00800707" w:rsidRDefault="00C82873" w:rsidP="008007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1</w:t>
      </w:r>
      <w:r w:rsidR="00800707">
        <w:rPr>
          <w:rFonts w:ascii="Times New Roman" w:hAnsi="Times New Roman" w:cs="Times New Roman"/>
          <w:sz w:val="24"/>
          <w:szCs w:val="24"/>
          <w:lang w:val="pt-PT"/>
        </w:rPr>
        <w:t>6</w:t>
      </w:r>
      <w:r>
        <w:rPr>
          <w:rFonts w:ascii="Times New Roman" w:hAnsi="Times New Roman" w:cs="Times New Roman"/>
          <w:sz w:val="24"/>
          <w:szCs w:val="24"/>
          <w:lang w:val="pt-PT"/>
        </w:rPr>
        <w:t>º</w:t>
      </w:r>
      <w:r w:rsidR="00C80A2A">
        <w:rPr>
          <w:rFonts w:ascii="Times New Roman" w:hAnsi="Times New Roman" w:cs="Times New Roman"/>
          <w:sz w:val="24"/>
          <w:szCs w:val="24"/>
          <w:lang w:val="pt-PT"/>
        </w:rPr>
        <w:t xml:space="preserve"> e 19º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800707">
        <w:rPr>
          <w:rFonts w:ascii="Times New Roman" w:hAnsi="Times New Roman" w:cs="Times New Roman"/>
          <w:sz w:val="24"/>
          <w:szCs w:val="24"/>
          <w:lang w:val="pt-PT"/>
        </w:rPr>
        <w:t>pela clarificação que daí adviria, não seria de prever que a instância arbitral</w:t>
      </w:r>
      <w:r w:rsidR="00E65A5A" w:rsidRPr="00E65A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>se inicia com a apresentação da reclamação</w:t>
      </w:r>
      <w:r w:rsidR="00800707">
        <w:rPr>
          <w:rFonts w:ascii="Times New Roman" w:hAnsi="Times New Roman" w:cs="Times New Roman"/>
          <w:sz w:val="24"/>
          <w:szCs w:val="24"/>
          <w:lang w:val="pt-PT"/>
        </w:rPr>
        <w:t>, independentemente de a arbitragem ser precedida de mediação e/ou conciliação?</w:t>
      </w:r>
    </w:p>
    <w:p w14:paraId="3096CEFA" w14:textId="1EC3DDB5" w:rsidR="00E65A5A" w:rsidRDefault="00800707" w:rsidP="00A47D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Por outro lado, nos termos da Lei 24/96, com as alterações introduzidas pela lei 63/2019, o</w:t>
      </w:r>
      <w:r w:rsidRPr="00A31DC7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bookmarkStart w:id="0" w:name="_Hlk158905139"/>
      <w:r w:rsidRPr="00A31DC7">
        <w:rPr>
          <w:rFonts w:ascii="Times New Roman" w:hAnsi="Times New Roman" w:cs="Times New Roman"/>
          <w:sz w:val="24"/>
          <w:szCs w:val="24"/>
          <w:lang w:val="pt-PT"/>
        </w:rPr>
        <w:t xml:space="preserve">conflitos de consumo </w:t>
      </w:r>
      <w:bookmarkEnd w:id="0"/>
      <w:r>
        <w:rPr>
          <w:rFonts w:ascii="Times New Roman" w:hAnsi="Times New Roman" w:cs="Times New Roman"/>
          <w:sz w:val="24"/>
          <w:szCs w:val="24"/>
          <w:lang w:val="pt-PT"/>
        </w:rPr>
        <w:t xml:space="preserve">– definidos no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. 2º da lei – cujo </w:t>
      </w:r>
      <w:r w:rsidRPr="005D5543">
        <w:rPr>
          <w:rFonts w:ascii="Times New Roman" w:hAnsi="Times New Roman" w:cs="Times New Roman"/>
          <w:sz w:val="24"/>
          <w:szCs w:val="24"/>
          <w:lang w:val="pt-PT"/>
        </w:rPr>
        <w:t xml:space="preserve">valor económico não exceda a alçada dos tribunais de 1.ª instância </w:t>
      </w:r>
      <w:r w:rsidRPr="00A31DC7">
        <w:rPr>
          <w:rFonts w:ascii="Times New Roman" w:hAnsi="Times New Roman" w:cs="Times New Roman"/>
          <w:sz w:val="24"/>
          <w:szCs w:val="24"/>
          <w:lang w:val="pt-PT"/>
        </w:rPr>
        <w:t xml:space="preserve">estão sujeitos a arbitragem necessária quando, por opção expressa dos consumidores, sejam submetidos à apreciação de tribunal arbitral </w:t>
      </w: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14º),</w:t>
      </w:r>
      <w:r w:rsidRPr="00A47DF5">
        <w:rPr>
          <w:rFonts w:ascii="Times New Roman" w:hAnsi="Times New Roman" w:cs="Times New Roman"/>
          <w:sz w:val="24"/>
          <w:szCs w:val="24"/>
          <w:lang w:val="pt-PT"/>
        </w:rPr>
        <w:t xml:space="preserve"> tal como já sucedia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a partir da </w:t>
      </w:r>
      <w:r w:rsidRPr="00A47DF5">
        <w:rPr>
          <w:rFonts w:ascii="Times New Roman" w:hAnsi="Times New Roman" w:cs="Times New Roman"/>
          <w:sz w:val="24"/>
          <w:szCs w:val="24"/>
          <w:lang w:val="pt-PT"/>
        </w:rPr>
        <w:t>Lei n.º 6/2011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A47DF5">
        <w:rPr>
          <w:rFonts w:ascii="Times New Roman" w:hAnsi="Times New Roman" w:cs="Times New Roman"/>
          <w:sz w:val="24"/>
          <w:szCs w:val="24"/>
          <w:lang w:val="pt-PT"/>
        </w:rPr>
        <w:t xml:space="preserve"> com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Pr="00A47DF5">
        <w:rPr>
          <w:rFonts w:ascii="Times New Roman" w:hAnsi="Times New Roman" w:cs="Times New Roman"/>
          <w:sz w:val="24"/>
          <w:szCs w:val="24"/>
          <w:lang w:val="pt-PT"/>
        </w:rPr>
        <w:t>litígios de consumo no âmbito dos serviços públicos essenciais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independentemente do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respectivo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valor</w:t>
      </w:r>
      <w:r w:rsidRPr="00A31DC7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>Assim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B41CF0">
        <w:rPr>
          <w:rFonts w:ascii="Times New Roman" w:hAnsi="Times New Roman" w:cs="Times New Roman"/>
          <w:sz w:val="24"/>
          <w:szCs w:val="24"/>
          <w:lang w:val="pt-PT"/>
        </w:rPr>
        <w:t>hoje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 a quase totalidade dos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litígios </w:t>
      </w:r>
      <w:r w:rsidRPr="00B41CF0">
        <w:rPr>
          <w:rFonts w:ascii="Times New Roman" w:hAnsi="Times New Roman" w:cs="Times New Roman"/>
          <w:sz w:val="24"/>
          <w:szCs w:val="24"/>
          <w:lang w:val="pt-PT"/>
        </w:rPr>
        <w:t>apreciados nos t. arbitrais de consumo são a estes submetidos por lei e não por convenção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>. Aliás, m</w:t>
      </w:r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esmo quanto às arbitragens não potestativas, dificilmente 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 xml:space="preserve">se </w:t>
      </w:r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>vislumbr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 alguma questão que possa ser dirimida nos t. arbitrais de consumo abrangida por uma qualquer convenção de arbitragem outorgada pelo profissional e pelo consumidor, que sempre deveria </w:t>
      </w:r>
      <w:proofErr w:type="spellStart"/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>adoptar</w:t>
      </w:r>
      <w:proofErr w:type="spellEnd"/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 forma escrita (</w:t>
      </w:r>
      <w:proofErr w:type="spellStart"/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>arts</w:t>
      </w:r>
      <w:proofErr w:type="spellEnd"/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>. 1º e 2º da LAV)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 xml:space="preserve">Neste domínio, </w:t>
      </w:r>
      <w:r w:rsidR="00E65A5A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a autonomia privada </w:t>
      </w:r>
      <w:r w:rsidR="00B41CF0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parece 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>estar amplamente limitada: o profissional é forçosamente demandado nas arbitragens necessárias e nas demais o livre exercício do direito a que o consumidor se arroga depende apenas da adesão do profissional a tal meio de resolução do litígio e não da vinculação daquele através de qualquer convenção escrita</w:t>
      </w:r>
      <w:r w:rsidR="00E81EB5">
        <w:rPr>
          <w:rFonts w:ascii="Times New Roman" w:hAnsi="Times New Roman" w:cs="Times New Roman"/>
          <w:sz w:val="24"/>
          <w:szCs w:val="24"/>
          <w:lang w:val="pt-PT"/>
        </w:rPr>
        <w:t xml:space="preserve">. Portanto, </w:t>
      </w:r>
      <w:r w:rsidR="00E65A5A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não se aplica aos t. arbitrais de consumo 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 xml:space="preserve">a exigência </w:t>
      </w:r>
      <w:r w:rsidR="00E65A5A" w:rsidRPr="00B41CF0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E65A5A" w:rsidRPr="00B41CF0">
        <w:rPr>
          <w:rFonts w:ascii="Times New Roman" w:hAnsi="Times New Roman" w:cs="Times New Roman"/>
          <w:sz w:val="24"/>
          <w:szCs w:val="24"/>
          <w:lang w:val="pt-PT"/>
        </w:rPr>
        <w:t xml:space="preserve"> acordo (necessariamente) expresso que as partes hajam celebrado para resolver o litígio por tal via</w:t>
      </w:r>
      <w:r w:rsidR="00E65A5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4730FEE" w14:textId="209F8F68" w:rsidR="00A31DC7" w:rsidRDefault="00C80A2A" w:rsidP="00C80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17º: embora não seja uma questão decisiva</w:t>
      </w:r>
      <w:r w:rsidR="00BB7C4B">
        <w:rPr>
          <w:rFonts w:ascii="Times New Roman" w:hAnsi="Times New Roman" w:cs="Times New Roman"/>
          <w:sz w:val="24"/>
          <w:szCs w:val="24"/>
          <w:lang w:val="pt-PT"/>
        </w:rPr>
        <w:t>, não seria preferível o sorteio do juiz, nos casos em que tal fosse possível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para reforço da essencial garantia da vertente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objectiva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da imparcialidade?</w:t>
      </w:r>
      <w:r w:rsidR="00A31DC7" w:rsidRPr="00A31DC7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5D5543">
        <w:rPr>
          <w:rFonts w:ascii="Times New Roman" w:hAnsi="Times New Roman" w:cs="Times New Roman"/>
          <w:sz w:val="24"/>
          <w:szCs w:val="24"/>
          <w:lang w:val="pt-PT"/>
        </w:rPr>
        <w:tab/>
      </w:r>
    </w:p>
    <w:p w14:paraId="51223B51" w14:textId="085BD992" w:rsidR="003B6094" w:rsidRDefault="00BB7C4B" w:rsidP="00A64B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25º/4:</w:t>
      </w:r>
      <w:r w:rsidRPr="00BB7C4B">
        <w:rPr>
          <w:rFonts w:ascii="Times New Roman" w:hAnsi="Times New Roman" w:cs="Times New Roman"/>
          <w:sz w:val="24"/>
          <w:szCs w:val="24"/>
          <w:lang w:val="pt-PT"/>
        </w:rPr>
        <w:t xml:space="preserve"> não ser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ia preferível uma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redacção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como «</w:t>
      </w:r>
      <w:r w:rsidRPr="00697E5E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sentença arbitral deve conter a identificação das partes, uma exposição resumida do objeto do litígio, </w:t>
      </w:r>
      <w:r w:rsidR="000B2F0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enunciação e </w:t>
      </w:r>
      <w:r w:rsidR="000B2F09" w:rsidRPr="00697E5E">
        <w:rPr>
          <w:rFonts w:ascii="Times New Roman" w:hAnsi="Times New Roman" w:cs="Times New Roman"/>
          <w:i/>
          <w:sz w:val="24"/>
          <w:szCs w:val="24"/>
          <w:lang w:val="pt-PT"/>
        </w:rPr>
        <w:t>a motivação</w:t>
      </w:r>
      <w:r w:rsidR="000B2F0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</w:t>
      </w:r>
      <w:r w:rsidRPr="00697E5E">
        <w:rPr>
          <w:rFonts w:ascii="Times New Roman" w:hAnsi="Times New Roman" w:cs="Times New Roman"/>
          <w:i/>
          <w:sz w:val="24"/>
          <w:szCs w:val="24"/>
          <w:lang w:val="pt-PT"/>
        </w:rPr>
        <w:t>os factos dados como provados e não provados</w:t>
      </w:r>
      <w:r w:rsidR="00697E5E" w:rsidRPr="00697E5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 a decisão</w:t>
      </w:r>
      <w:r w:rsidRPr="00697E5E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697E5E" w:rsidRPr="00697E5E">
        <w:rPr>
          <w:rFonts w:ascii="Times New Roman" w:hAnsi="Times New Roman" w:cs="Times New Roman"/>
          <w:i/>
          <w:sz w:val="24"/>
          <w:szCs w:val="24"/>
          <w:lang w:val="pt-PT"/>
        </w:rPr>
        <w:t>antecedida da sua</w:t>
      </w:r>
      <w:r w:rsidRPr="00697E5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697E5E" w:rsidRPr="00697E5E">
        <w:rPr>
          <w:rFonts w:ascii="Times New Roman" w:hAnsi="Times New Roman" w:cs="Times New Roman"/>
          <w:i/>
          <w:sz w:val="24"/>
          <w:szCs w:val="24"/>
          <w:lang w:val="pt-PT"/>
        </w:rPr>
        <w:t xml:space="preserve">sintética </w:t>
      </w:r>
      <w:r w:rsidRPr="00697E5E">
        <w:rPr>
          <w:rFonts w:ascii="Times New Roman" w:hAnsi="Times New Roman" w:cs="Times New Roman"/>
          <w:i/>
          <w:sz w:val="24"/>
          <w:szCs w:val="24"/>
          <w:lang w:val="pt-PT"/>
        </w:rPr>
        <w:t>fundamenta</w:t>
      </w:r>
      <w:r w:rsidR="00697E5E" w:rsidRPr="00697E5E">
        <w:rPr>
          <w:rFonts w:ascii="Times New Roman" w:hAnsi="Times New Roman" w:cs="Times New Roman"/>
          <w:i/>
          <w:sz w:val="24"/>
          <w:szCs w:val="24"/>
          <w:lang w:val="pt-PT"/>
        </w:rPr>
        <w:t>ção</w:t>
      </w:r>
      <w:r w:rsidR="00697E5E">
        <w:rPr>
          <w:rFonts w:ascii="Times New Roman" w:hAnsi="Times New Roman" w:cs="Times New Roman"/>
          <w:sz w:val="24"/>
          <w:szCs w:val="24"/>
          <w:lang w:val="pt-PT"/>
        </w:rPr>
        <w:t xml:space="preserve">»? </w:t>
      </w:r>
    </w:p>
    <w:p w14:paraId="2A37D687" w14:textId="5B1D34F4" w:rsidR="009E21DC" w:rsidRPr="009E21DC" w:rsidRDefault="00697E5E" w:rsidP="00A64B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25º/6:</w:t>
      </w:r>
      <w:r w:rsidRPr="00BB7C4B">
        <w:rPr>
          <w:rFonts w:ascii="Times New Roman" w:hAnsi="Times New Roman" w:cs="Times New Roman"/>
          <w:sz w:val="24"/>
          <w:szCs w:val="24"/>
          <w:lang w:val="pt-PT"/>
        </w:rPr>
        <w:t xml:space="preserve"> não</w:t>
      </w:r>
      <w:r w:rsidRPr="00697E5E">
        <w:rPr>
          <w:rFonts w:ascii="Times New Roman" w:hAnsi="Times New Roman" w:cs="Times New Roman"/>
          <w:sz w:val="24"/>
          <w:szCs w:val="24"/>
          <w:lang w:val="pt-PT"/>
        </w:rPr>
        <w:t xml:space="preserve"> seria </w:t>
      </w:r>
      <w:r w:rsidR="00067CB3" w:rsidRPr="00697E5E">
        <w:rPr>
          <w:rFonts w:ascii="Times New Roman" w:hAnsi="Times New Roman" w:cs="Times New Roman"/>
          <w:sz w:val="24"/>
          <w:szCs w:val="24"/>
          <w:lang w:val="pt-PT"/>
        </w:rPr>
        <w:t>melhor</w:t>
      </w:r>
      <w:r w:rsidRPr="00697E5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ficar já clarificado que </w:t>
      </w:r>
      <w:r w:rsidR="00E676B1">
        <w:rPr>
          <w:rFonts w:ascii="Times New Roman" w:hAnsi="Times New Roman" w:cs="Times New Roman"/>
          <w:sz w:val="24"/>
          <w:szCs w:val="24"/>
          <w:lang w:val="pt-PT"/>
        </w:rPr>
        <w:t xml:space="preserve">a sentença é </w:t>
      </w:r>
      <w:proofErr w:type="spellStart"/>
      <w:r w:rsidR="00E676B1">
        <w:rPr>
          <w:rFonts w:ascii="Times New Roman" w:hAnsi="Times New Roman" w:cs="Times New Roman"/>
          <w:sz w:val="24"/>
          <w:szCs w:val="24"/>
          <w:lang w:val="pt-PT"/>
        </w:rPr>
        <w:t>susceptível</w:t>
      </w:r>
      <w:proofErr w:type="spellEnd"/>
      <w:r w:rsidR="00E676B1">
        <w:rPr>
          <w:rFonts w:ascii="Times New Roman" w:hAnsi="Times New Roman" w:cs="Times New Roman"/>
          <w:sz w:val="24"/>
          <w:szCs w:val="24"/>
          <w:lang w:val="pt-PT"/>
        </w:rPr>
        <w:t xml:space="preserve"> de reclamação 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E676B1">
        <w:rPr>
          <w:rFonts w:ascii="Times New Roman" w:hAnsi="Times New Roman" w:cs="Times New Roman"/>
          <w:sz w:val="24"/>
          <w:szCs w:val="24"/>
          <w:lang w:val="pt-PT"/>
        </w:rPr>
        <w:t>sobre nulidades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E676B1">
        <w:rPr>
          <w:rFonts w:ascii="Times New Roman" w:hAnsi="Times New Roman" w:cs="Times New Roman"/>
          <w:sz w:val="24"/>
          <w:szCs w:val="24"/>
          <w:lang w:val="pt-PT"/>
        </w:rPr>
        <w:t xml:space="preserve"> e que </w:t>
      </w:r>
      <w:r>
        <w:rPr>
          <w:rFonts w:ascii="Times New Roman" w:hAnsi="Times New Roman" w:cs="Times New Roman"/>
          <w:sz w:val="24"/>
          <w:szCs w:val="24"/>
          <w:lang w:val="pt-PT"/>
        </w:rPr>
        <w:t>o recurso é de apelação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tudo o que isso implica</w:t>
      </w:r>
      <w:bookmarkStart w:id="1" w:name="_GoBack"/>
      <w:bookmarkEnd w:id="1"/>
      <w:r w:rsidR="00E676B1">
        <w:rPr>
          <w:rFonts w:ascii="Times New Roman" w:hAnsi="Times New Roman" w:cs="Times New Roman"/>
          <w:sz w:val="24"/>
          <w:szCs w:val="24"/>
          <w:lang w:val="pt-PT"/>
        </w:rPr>
        <w:t xml:space="preserve"> nos termos do CPC</w:t>
      </w:r>
      <w:r>
        <w:rPr>
          <w:rFonts w:ascii="Times New Roman" w:hAnsi="Times New Roman" w:cs="Times New Roman"/>
          <w:sz w:val="24"/>
          <w:szCs w:val="24"/>
          <w:lang w:val="pt-PT"/>
        </w:rPr>
        <w:t>?</w:t>
      </w:r>
    </w:p>
    <w:p w14:paraId="16003A8A" w14:textId="09CA09D1" w:rsidR="00874F40" w:rsidRPr="00697E5E" w:rsidRDefault="00874F40" w:rsidP="0069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  <w:lang w:val="pt-PT"/>
        </w:rPr>
      </w:pPr>
    </w:p>
    <w:p w14:paraId="26E751BF" w14:textId="07CD8261" w:rsidR="00697E5E" w:rsidRDefault="00697E5E" w:rsidP="00A64B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Por fim, reitero a ideia de que</w:t>
      </w:r>
      <w:r w:rsidR="00B55800" w:rsidRPr="00B55800">
        <w:rPr>
          <w:rFonts w:ascii="Times New Roman" w:hAnsi="Times New Roman" w:cs="Times New Roman"/>
          <w:sz w:val="24"/>
          <w:szCs w:val="24"/>
          <w:lang w:val="pt-PT"/>
        </w:rPr>
        <w:t xml:space="preserve"> o “Regulamento”</w:t>
      </w:r>
      <w:r w:rsidR="00DD53B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60A9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 xml:space="preserve">na parte não consistente num mero “manual” de boas práticas dos serviços, </w:t>
      </w:r>
      <w:r w:rsidR="00B55800" w:rsidRPr="00B55800">
        <w:rPr>
          <w:rFonts w:ascii="Times New Roman" w:hAnsi="Times New Roman" w:cs="Times New Roman"/>
          <w:sz w:val="24"/>
          <w:szCs w:val="24"/>
          <w:lang w:val="pt-PT"/>
        </w:rPr>
        <w:t>no essencial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B55800" w:rsidRPr="00B5580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 xml:space="preserve">é constituído por normativos com a </w:t>
      </w:r>
      <w:r w:rsidR="00360A91">
        <w:rPr>
          <w:rFonts w:ascii="Times New Roman" w:hAnsi="Times New Roman" w:cs="Times New Roman"/>
          <w:sz w:val="24"/>
          <w:szCs w:val="24"/>
          <w:lang w:val="pt-PT"/>
        </w:rPr>
        <w:t>preten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 xml:space="preserve">são </w:t>
      </w:r>
      <w:r w:rsidR="00DD53B6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>alcança</w:t>
      </w:r>
      <w:r w:rsidR="00DD53B6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="00DD53B6">
        <w:rPr>
          <w:rFonts w:ascii="Times New Roman" w:hAnsi="Times New Roman" w:cs="Times New Roman"/>
          <w:sz w:val="24"/>
          <w:szCs w:val="24"/>
          <w:lang w:val="pt-PT"/>
        </w:rPr>
        <w:t xml:space="preserve"> eficácia externa,</w:t>
      </w:r>
      <w:r w:rsidR="00360A91">
        <w:rPr>
          <w:rFonts w:ascii="Times New Roman" w:hAnsi="Times New Roman" w:cs="Times New Roman"/>
          <w:sz w:val="24"/>
          <w:szCs w:val="24"/>
          <w:lang w:val="pt-PT"/>
        </w:rPr>
        <w:t xml:space="preserve"> vincula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>tivas</w:t>
      </w:r>
      <w:r w:rsidR="00DD53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DD53B6">
        <w:rPr>
          <w:rFonts w:ascii="Times New Roman" w:hAnsi="Times New Roman" w:cs="Times New Roman"/>
          <w:sz w:val="24"/>
          <w:szCs w:val="24"/>
          <w:lang w:val="pt-PT"/>
        </w:rPr>
        <w:t>os cidadãos e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>, até,</w:t>
      </w:r>
      <w:r w:rsidR="00DD53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DD53B6">
        <w:rPr>
          <w:rFonts w:ascii="Times New Roman" w:hAnsi="Times New Roman" w:cs="Times New Roman"/>
          <w:sz w:val="24"/>
          <w:szCs w:val="24"/>
          <w:lang w:val="pt-PT"/>
        </w:rPr>
        <w:t>os tribunais estaduais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>se vingar o previsto recurso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>. Compreende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>-se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 xml:space="preserve"> esse desiderato, na medida em que a 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 xml:space="preserve">legitimação da 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 xml:space="preserve">resolução de litígios de consumo pelos 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 xml:space="preserve">(institucionalizados) 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 xml:space="preserve">tribunais arbitrais 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 xml:space="preserve">competentes assenta na lei e 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>não na autonomia da vontade</w:t>
      </w:r>
      <w:r w:rsidR="00067CB3">
        <w:rPr>
          <w:rFonts w:ascii="Times New Roman" w:hAnsi="Times New Roman" w:cs="Times New Roman"/>
          <w:sz w:val="24"/>
          <w:szCs w:val="24"/>
          <w:lang w:val="pt-PT"/>
        </w:rPr>
        <w:t>. Porém,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 xml:space="preserve"> o mesmo</w:t>
      </w:r>
      <w:r w:rsidR="00B55800">
        <w:rPr>
          <w:rFonts w:ascii="Times New Roman" w:hAnsi="Times New Roman" w:cs="Times New Roman"/>
          <w:sz w:val="24"/>
          <w:szCs w:val="24"/>
          <w:lang w:val="pt-PT"/>
        </w:rPr>
        <w:t xml:space="preserve"> só é viável 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 xml:space="preserve">se o </w:t>
      </w:r>
      <w:r w:rsidR="000B2F09" w:rsidRPr="00B55800">
        <w:rPr>
          <w:rFonts w:ascii="Times New Roman" w:hAnsi="Times New Roman" w:cs="Times New Roman"/>
          <w:sz w:val="24"/>
          <w:szCs w:val="24"/>
          <w:lang w:val="pt-PT"/>
        </w:rPr>
        <w:t>“Regulamento”</w:t>
      </w:r>
      <w:r w:rsidR="000B2F09">
        <w:rPr>
          <w:rFonts w:ascii="Times New Roman" w:hAnsi="Times New Roman" w:cs="Times New Roman"/>
          <w:sz w:val="24"/>
          <w:szCs w:val="24"/>
          <w:lang w:val="pt-PT"/>
        </w:rPr>
        <w:t xml:space="preserve"> for plasmado em lei da República.</w:t>
      </w:r>
    </w:p>
    <w:p w14:paraId="720F8313" w14:textId="582466D0" w:rsidR="00067CB3" w:rsidRDefault="00067CB3" w:rsidP="00A64B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7891D98" w14:textId="1E0396A1" w:rsidR="00067CB3" w:rsidRDefault="00067CB3" w:rsidP="00A64B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Alexandre Reis </w:t>
      </w:r>
    </w:p>
    <w:sectPr w:rsidR="00067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1171B" w14:textId="77777777" w:rsidR="001B332A" w:rsidRDefault="001B332A" w:rsidP="008D50CB">
      <w:pPr>
        <w:spacing w:after="0" w:line="240" w:lineRule="auto"/>
      </w:pPr>
      <w:r>
        <w:separator/>
      </w:r>
    </w:p>
  </w:endnote>
  <w:endnote w:type="continuationSeparator" w:id="0">
    <w:p w14:paraId="45BA94A3" w14:textId="77777777" w:rsidR="001B332A" w:rsidRDefault="001B332A" w:rsidP="008D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ACC9" w14:textId="77777777" w:rsidR="001B332A" w:rsidRDefault="001B332A" w:rsidP="008D50CB">
      <w:pPr>
        <w:spacing w:after="0" w:line="240" w:lineRule="auto"/>
      </w:pPr>
      <w:r>
        <w:separator/>
      </w:r>
    </w:p>
  </w:footnote>
  <w:footnote w:type="continuationSeparator" w:id="0">
    <w:p w14:paraId="5E2848B2" w14:textId="77777777" w:rsidR="001B332A" w:rsidRDefault="001B332A" w:rsidP="008D5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2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F0F"/>
    <w:rsid w:val="0002146D"/>
    <w:rsid w:val="00067CB3"/>
    <w:rsid w:val="000B2F09"/>
    <w:rsid w:val="000B3647"/>
    <w:rsid w:val="00117540"/>
    <w:rsid w:val="001A3F0F"/>
    <w:rsid w:val="001B332A"/>
    <w:rsid w:val="002C04CF"/>
    <w:rsid w:val="00360A91"/>
    <w:rsid w:val="003B6094"/>
    <w:rsid w:val="00437E76"/>
    <w:rsid w:val="004F5E34"/>
    <w:rsid w:val="005D5543"/>
    <w:rsid w:val="00697E5E"/>
    <w:rsid w:val="00725594"/>
    <w:rsid w:val="007B7C31"/>
    <w:rsid w:val="00800707"/>
    <w:rsid w:val="008274A3"/>
    <w:rsid w:val="00874F40"/>
    <w:rsid w:val="008D50CB"/>
    <w:rsid w:val="009377A8"/>
    <w:rsid w:val="00937C77"/>
    <w:rsid w:val="009E21DC"/>
    <w:rsid w:val="00A31DC7"/>
    <w:rsid w:val="00A47DF5"/>
    <w:rsid w:val="00A64B8E"/>
    <w:rsid w:val="00B41CF0"/>
    <w:rsid w:val="00B55800"/>
    <w:rsid w:val="00BB7C4B"/>
    <w:rsid w:val="00C80A2A"/>
    <w:rsid w:val="00C82873"/>
    <w:rsid w:val="00D87B76"/>
    <w:rsid w:val="00DD53B6"/>
    <w:rsid w:val="00E1383E"/>
    <w:rsid w:val="00E65A5A"/>
    <w:rsid w:val="00E676B1"/>
    <w:rsid w:val="00E81EB5"/>
    <w:rsid w:val="00E97925"/>
    <w:rsid w:val="00E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16BF"/>
  <w15:chartTrackingRefBased/>
  <w15:docId w15:val="{A956D943-3F7A-48C4-81B9-EEEDF359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D50CB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D50CB"/>
    <w:rPr>
      <w:sz w:val="20"/>
      <w:szCs w:val="20"/>
      <w:lang w:val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D5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Reis</dc:creator>
  <cp:keywords/>
  <dc:description/>
  <cp:lastModifiedBy>Utilizador</cp:lastModifiedBy>
  <cp:revision>5</cp:revision>
  <dcterms:created xsi:type="dcterms:W3CDTF">2024-01-27T14:50:00Z</dcterms:created>
  <dcterms:modified xsi:type="dcterms:W3CDTF">2024-02-15T18:47:00Z</dcterms:modified>
</cp:coreProperties>
</file>