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3B" w:rsidRPr="00100B81" w:rsidRDefault="002D263B" w:rsidP="00100B81">
      <w:pPr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0B81">
        <w:rPr>
          <w:rFonts w:ascii="Times New Roman" w:hAnsi="Times New Roman" w:cs="Times New Roman"/>
          <w:i/>
          <w:sz w:val="26"/>
          <w:szCs w:val="26"/>
        </w:rPr>
        <w:t>Breves notas sobre</w:t>
      </w:r>
    </w:p>
    <w:p w:rsidR="002D263B" w:rsidRPr="00100B81" w:rsidRDefault="002D263B" w:rsidP="00100B81">
      <w:pPr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0B81">
        <w:rPr>
          <w:rFonts w:ascii="Times New Roman" w:hAnsi="Times New Roman" w:cs="Times New Roman"/>
          <w:i/>
          <w:sz w:val="26"/>
          <w:szCs w:val="26"/>
        </w:rPr>
        <w:t>“Regulamento Harmonizado…”</w:t>
      </w:r>
    </w:p>
    <w:p w:rsidR="00100B81" w:rsidRPr="00100B81" w:rsidRDefault="00100B81" w:rsidP="00100B81">
      <w:pPr>
        <w:ind w:firstLine="567"/>
        <w:jc w:val="center"/>
        <w:rPr>
          <w:rFonts w:ascii="Times New Roman" w:hAnsi="Times New Roman" w:cs="Times New Roman"/>
        </w:rPr>
      </w:pPr>
      <w:r w:rsidRPr="00100B81">
        <w:rPr>
          <w:rFonts w:ascii="Times New Roman" w:hAnsi="Times New Roman" w:cs="Times New Roman"/>
        </w:rPr>
        <w:t>(</w:t>
      </w:r>
      <w:r w:rsidRPr="00100B81">
        <w:rPr>
          <w:rFonts w:ascii="Times New Roman" w:hAnsi="Times New Roman" w:cs="Times New Roman"/>
        </w:rPr>
        <w:t>Maria José Capelo</w:t>
      </w:r>
      <w:r w:rsidRPr="00100B81">
        <w:rPr>
          <w:rFonts w:ascii="Times New Roman" w:hAnsi="Times New Roman" w:cs="Times New Roman"/>
        </w:rPr>
        <w:t>)</w:t>
      </w:r>
    </w:p>
    <w:p w:rsidR="00100B81" w:rsidRPr="00100B81" w:rsidRDefault="00100B81" w:rsidP="00335335">
      <w:pPr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00B81" w:rsidRPr="004C1C03" w:rsidRDefault="00100B81" w:rsidP="0033533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4237" w:rsidRPr="004C1C03" w:rsidRDefault="004C1C03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>Para além do que foi referido no nosso Encontro, elenco brevemente alguns pontos que entendo que devem ser ponderados:</w:t>
      </w:r>
    </w:p>
    <w:p w:rsidR="002D263B" w:rsidRPr="004C1C03" w:rsidRDefault="002D263B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r w:rsidR="00335335">
        <w:rPr>
          <w:rFonts w:ascii="Times New Roman" w:hAnsi="Times New Roman" w:cs="Times New Roman"/>
          <w:sz w:val="26"/>
          <w:szCs w:val="26"/>
        </w:rPr>
        <w:softHyphen/>
      </w:r>
      <w:proofErr w:type="gramStart"/>
      <w:r w:rsidR="004C1C03" w:rsidRPr="004C1C03">
        <w:rPr>
          <w:rFonts w:ascii="Times New Roman" w:hAnsi="Times New Roman" w:cs="Times New Roman"/>
          <w:sz w:val="26"/>
          <w:szCs w:val="26"/>
        </w:rPr>
        <w:t>repensar</w:t>
      </w:r>
      <w:proofErr w:type="gramEnd"/>
      <w:r w:rsidR="004C1C03" w:rsidRPr="004C1C03">
        <w:rPr>
          <w:rFonts w:ascii="Times New Roman" w:hAnsi="Times New Roman" w:cs="Times New Roman"/>
          <w:sz w:val="26"/>
          <w:szCs w:val="26"/>
        </w:rPr>
        <w:t xml:space="preserve"> o </w:t>
      </w:r>
      <w:r w:rsidRPr="004C1C03">
        <w:rPr>
          <w:rFonts w:ascii="Times New Roman" w:hAnsi="Times New Roman" w:cs="Times New Roman"/>
          <w:sz w:val="26"/>
          <w:szCs w:val="26"/>
        </w:rPr>
        <w:t>conteúdo do n.º 6 do artigo 10.º (</w:t>
      </w:r>
      <w:r w:rsidR="00335335">
        <w:rPr>
          <w:rFonts w:ascii="Times New Roman" w:hAnsi="Times New Roman" w:cs="Times New Roman"/>
          <w:sz w:val="26"/>
          <w:szCs w:val="26"/>
        </w:rPr>
        <w:t xml:space="preserve">quem deve fazer este controle liminar? </w:t>
      </w:r>
      <w:r w:rsidRPr="004C1C03">
        <w:rPr>
          <w:rFonts w:ascii="Times New Roman" w:hAnsi="Times New Roman" w:cs="Times New Roman"/>
          <w:sz w:val="26"/>
          <w:szCs w:val="26"/>
        </w:rPr>
        <w:t>se houver nulidade, reclama-se perante quem?)</w:t>
      </w:r>
    </w:p>
    <w:p w:rsidR="002D263B" w:rsidRPr="004C1C03" w:rsidRDefault="002D263B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C1C03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Pr="004C1C03">
        <w:rPr>
          <w:rFonts w:ascii="Times New Roman" w:hAnsi="Times New Roman" w:cs="Times New Roman"/>
          <w:sz w:val="26"/>
          <w:szCs w:val="26"/>
        </w:rPr>
        <w:t xml:space="preserve"> artigo 15.º devia remeter-se para a Lei da Mediação</w:t>
      </w:r>
      <w:r w:rsidR="00DF4237" w:rsidRPr="004C1C03">
        <w:rPr>
          <w:rFonts w:ascii="Times New Roman" w:hAnsi="Times New Roman" w:cs="Times New Roman"/>
          <w:sz w:val="26"/>
          <w:szCs w:val="26"/>
        </w:rPr>
        <w:t xml:space="preserve"> sempre que fosse pertinente (nomeadamente quando se alude ao procedimento de mediação)</w:t>
      </w:r>
    </w:p>
    <w:p w:rsidR="00DF4237" w:rsidRPr="004C1C03" w:rsidRDefault="00DF4237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-Em caso de o demandado se defender por exceção ou reconvenção (nos casos em que é admitida), convém </w:t>
      </w:r>
      <w:r w:rsidR="001C2BB5">
        <w:rPr>
          <w:rFonts w:ascii="Times New Roman" w:hAnsi="Times New Roman" w:cs="Times New Roman"/>
          <w:sz w:val="26"/>
          <w:szCs w:val="26"/>
        </w:rPr>
        <w:t xml:space="preserve">regulamentar de forma a </w:t>
      </w:r>
      <w:r w:rsidRPr="004C1C03">
        <w:rPr>
          <w:rFonts w:ascii="Times New Roman" w:hAnsi="Times New Roman" w:cs="Times New Roman"/>
          <w:sz w:val="26"/>
          <w:szCs w:val="26"/>
        </w:rPr>
        <w:t>assegurar um prazo de 10 dias</w:t>
      </w:r>
      <w:r w:rsidR="001C2BB5">
        <w:rPr>
          <w:rFonts w:ascii="Times New Roman" w:hAnsi="Times New Roman" w:cs="Times New Roman"/>
          <w:sz w:val="26"/>
          <w:szCs w:val="26"/>
        </w:rPr>
        <w:t xml:space="preserve"> de </w:t>
      </w:r>
      <w:proofErr w:type="gramStart"/>
      <w:r w:rsidR="001C2BB5">
        <w:rPr>
          <w:rFonts w:ascii="Times New Roman" w:hAnsi="Times New Roman" w:cs="Times New Roman"/>
          <w:sz w:val="26"/>
          <w:szCs w:val="26"/>
        </w:rPr>
        <w:t>resposta</w:t>
      </w:r>
      <w:r w:rsidRPr="004C1C03">
        <w:rPr>
          <w:rFonts w:ascii="Times New Roman" w:hAnsi="Times New Roman" w:cs="Times New Roman"/>
          <w:sz w:val="26"/>
          <w:szCs w:val="26"/>
        </w:rPr>
        <w:t xml:space="preserve">, </w:t>
      </w:r>
      <w:r w:rsidR="00BC7178">
        <w:rPr>
          <w:rFonts w:ascii="Times New Roman" w:hAnsi="Times New Roman" w:cs="Times New Roman"/>
          <w:sz w:val="26"/>
          <w:szCs w:val="26"/>
        </w:rPr>
        <w:t xml:space="preserve"> ou</w:t>
      </w:r>
      <w:proofErr w:type="gramEnd"/>
      <w:r w:rsidR="00BC7178">
        <w:rPr>
          <w:rFonts w:ascii="Times New Roman" w:hAnsi="Times New Roman" w:cs="Times New Roman"/>
          <w:sz w:val="26"/>
          <w:szCs w:val="26"/>
        </w:rPr>
        <w:t xml:space="preserve"> seja </w:t>
      </w:r>
      <w:r w:rsidRPr="004C1C03">
        <w:rPr>
          <w:rFonts w:ascii="Times New Roman" w:hAnsi="Times New Roman" w:cs="Times New Roman"/>
          <w:sz w:val="26"/>
          <w:szCs w:val="26"/>
        </w:rPr>
        <w:t>articulando</w:t>
      </w:r>
      <w:r w:rsidR="00335335">
        <w:rPr>
          <w:rFonts w:ascii="Times New Roman" w:hAnsi="Times New Roman" w:cs="Times New Roman"/>
          <w:sz w:val="26"/>
          <w:szCs w:val="26"/>
        </w:rPr>
        <w:t xml:space="preserve"> a contagem d</w:t>
      </w:r>
      <w:r w:rsidR="00BC7178">
        <w:rPr>
          <w:rFonts w:ascii="Times New Roman" w:hAnsi="Times New Roman" w:cs="Times New Roman"/>
          <w:sz w:val="26"/>
          <w:szCs w:val="26"/>
        </w:rPr>
        <w:t xml:space="preserve">o </w:t>
      </w:r>
      <w:r w:rsidR="00335335">
        <w:rPr>
          <w:rFonts w:ascii="Times New Roman" w:hAnsi="Times New Roman" w:cs="Times New Roman"/>
          <w:sz w:val="26"/>
          <w:szCs w:val="26"/>
        </w:rPr>
        <w:t>prazo</w:t>
      </w:r>
      <w:r w:rsidR="00BC7178">
        <w:rPr>
          <w:rFonts w:ascii="Times New Roman" w:hAnsi="Times New Roman" w:cs="Times New Roman"/>
          <w:sz w:val="26"/>
          <w:szCs w:val="26"/>
        </w:rPr>
        <w:t xml:space="preserve"> (de resposta)</w:t>
      </w:r>
      <w:r w:rsidRPr="004C1C03">
        <w:rPr>
          <w:rFonts w:ascii="Times New Roman" w:hAnsi="Times New Roman" w:cs="Times New Roman"/>
          <w:sz w:val="26"/>
          <w:szCs w:val="26"/>
        </w:rPr>
        <w:t xml:space="preserve"> com </w:t>
      </w:r>
      <w:r w:rsidR="004C1C03" w:rsidRPr="004C1C03">
        <w:rPr>
          <w:rFonts w:ascii="Times New Roman" w:hAnsi="Times New Roman" w:cs="Times New Roman"/>
          <w:sz w:val="26"/>
          <w:szCs w:val="26"/>
        </w:rPr>
        <w:t xml:space="preserve">o momento processual </w:t>
      </w:r>
      <w:r w:rsidRPr="004C1C03">
        <w:rPr>
          <w:rFonts w:ascii="Times New Roman" w:hAnsi="Times New Roman" w:cs="Times New Roman"/>
          <w:sz w:val="26"/>
          <w:szCs w:val="26"/>
        </w:rPr>
        <w:t>em que o demandado apresenta a contestação.</w:t>
      </w:r>
    </w:p>
    <w:p w:rsidR="00DF4237" w:rsidRPr="004C1C03" w:rsidRDefault="00DF4237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C1C03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Pr="004C1C03">
        <w:rPr>
          <w:rFonts w:ascii="Times New Roman" w:hAnsi="Times New Roman" w:cs="Times New Roman"/>
          <w:sz w:val="26"/>
          <w:szCs w:val="26"/>
        </w:rPr>
        <w:t xml:space="preserve"> artigo 20.º deve prever-se a observância do contraditório em caso de alteração superveniente.</w:t>
      </w:r>
    </w:p>
    <w:p w:rsidR="00DF4237" w:rsidRPr="004C1C03" w:rsidRDefault="00DF4237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C1C03">
        <w:rPr>
          <w:rFonts w:ascii="Times New Roman" w:hAnsi="Times New Roman" w:cs="Times New Roman"/>
          <w:sz w:val="26"/>
          <w:szCs w:val="26"/>
        </w:rPr>
        <w:t>artigo</w:t>
      </w:r>
      <w:proofErr w:type="gramEnd"/>
      <w:r w:rsidRPr="004C1C03">
        <w:rPr>
          <w:rFonts w:ascii="Times New Roman" w:hAnsi="Times New Roman" w:cs="Times New Roman"/>
          <w:sz w:val="26"/>
          <w:szCs w:val="26"/>
        </w:rPr>
        <w:t xml:space="preserve"> 22.º deverá ponderar-se em que medida a faculdade de decretar providências cautelares</w:t>
      </w:r>
      <w:r w:rsidR="001C2BB5">
        <w:rPr>
          <w:rFonts w:ascii="Times New Roman" w:hAnsi="Times New Roman" w:cs="Times New Roman"/>
          <w:sz w:val="26"/>
          <w:szCs w:val="26"/>
        </w:rPr>
        <w:t xml:space="preserve"> </w:t>
      </w:r>
      <w:r w:rsidRPr="004C1C03">
        <w:rPr>
          <w:rFonts w:ascii="Times New Roman" w:hAnsi="Times New Roman" w:cs="Times New Roman"/>
          <w:sz w:val="26"/>
          <w:szCs w:val="26"/>
        </w:rPr>
        <w:t>não complica a celeridade do procedimento arbitral.</w:t>
      </w:r>
      <w:r w:rsidR="001C2BB5">
        <w:rPr>
          <w:rFonts w:ascii="Times New Roman" w:hAnsi="Times New Roman" w:cs="Times New Roman"/>
          <w:sz w:val="26"/>
          <w:szCs w:val="26"/>
        </w:rPr>
        <w:t xml:space="preserve"> Perante o carácter “efémero/volátil” da prova digital/eletrónica, eventualmente seria de equacionar a possibilidade de decretar medidas de preservação da prova (Cf. al. c) do n.º 2 do artigo 20.º da LAV)</w:t>
      </w:r>
      <w:r w:rsidR="00335335">
        <w:rPr>
          <w:rFonts w:ascii="Times New Roman" w:hAnsi="Times New Roman" w:cs="Times New Roman"/>
          <w:sz w:val="26"/>
          <w:szCs w:val="26"/>
        </w:rPr>
        <w:t xml:space="preserve">. </w:t>
      </w:r>
      <w:r w:rsidR="001C2BB5">
        <w:rPr>
          <w:rFonts w:ascii="Times New Roman" w:hAnsi="Times New Roman" w:cs="Times New Roman"/>
          <w:sz w:val="26"/>
          <w:szCs w:val="26"/>
        </w:rPr>
        <w:t>No entanto, surgiria sempre o problema da sua “</w:t>
      </w:r>
      <w:proofErr w:type="gramStart"/>
      <w:r w:rsidR="001C2BB5">
        <w:rPr>
          <w:rFonts w:ascii="Times New Roman" w:hAnsi="Times New Roman" w:cs="Times New Roman"/>
          <w:sz w:val="26"/>
          <w:szCs w:val="26"/>
        </w:rPr>
        <w:t>execução”…</w:t>
      </w:r>
      <w:proofErr w:type="gramEnd"/>
    </w:p>
    <w:p w:rsidR="00DF4237" w:rsidRPr="004C1C03" w:rsidRDefault="00DF4237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r w:rsidR="00BC7178">
        <w:rPr>
          <w:rFonts w:ascii="Times New Roman" w:hAnsi="Times New Roman" w:cs="Times New Roman"/>
          <w:sz w:val="26"/>
          <w:szCs w:val="26"/>
        </w:rPr>
        <w:t>n</w:t>
      </w:r>
      <w:bookmarkStart w:id="0" w:name="_GoBack"/>
      <w:bookmarkEnd w:id="0"/>
      <w:r w:rsidRPr="004C1C03">
        <w:rPr>
          <w:rFonts w:ascii="Times New Roman" w:hAnsi="Times New Roman" w:cs="Times New Roman"/>
          <w:sz w:val="26"/>
          <w:szCs w:val="26"/>
        </w:rPr>
        <w:t xml:space="preserve">o artigo 23.º, a remissão para o artigo 36.º da Lei n.º 63/2011 </w:t>
      </w:r>
      <w:r w:rsidR="00335335">
        <w:rPr>
          <w:rFonts w:ascii="Times New Roman" w:hAnsi="Times New Roman" w:cs="Times New Roman"/>
          <w:sz w:val="26"/>
          <w:szCs w:val="26"/>
        </w:rPr>
        <w:t xml:space="preserve">trará </w:t>
      </w:r>
      <w:r w:rsidRPr="004C1C03">
        <w:rPr>
          <w:rFonts w:ascii="Times New Roman" w:hAnsi="Times New Roman" w:cs="Times New Roman"/>
          <w:sz w:val="26"/>
          <w:szCs w:val="26"/>
        </w:rPr>
        <w:t>muita complexidade para um procedimento que se quer célere. Salvaguardando os casos em que se configura um litisconsórcio necessário (a justificar, por isso, uma intervenção principal provocada), to</w:t>
      </w:r>
      <w:r w:rsidR="001C2BB5">
        <w:rPr>
          <w:rFonts w:ascii="Times New Roman" w:hAnsi="Times New Roman" w:cs="Times New Roman"/>
          <w:sz w:val="26"/>
          <w:szCs w:val="26"/>
        </w:rPr>
        <w:t>dos</w:t>
      </w:r>
      <w:r w:rsidRPr="004C1C03">
        <w:rPr>
          <w:rFonts w:ascii="Times New Roman" w:hAnsi="Times New Roman" w:cs="Times New Roman"/>
          <w:sz w:val="26"/>
          <w:szCs w:val="26"/>
        </w:rPr>
        <w:t xml:space="preserve"> os demais casos – </w:t>
      </w:r>
      <w:r w:rsidR="00DC4FE6" w:rsidRPr="004C1C03">
        <w:rPr>
          <w:rFonts w:ascii="Times New Roman" w:hAnsi="Times New Roman" w:cs="Times New Roman"/>
          <w:sz w:val="26"/>
          <w:szCs w:val="26"/>
        </w:rPr>
        <w:t xml:space="preserve">incidentes de </w:t>
      </w:r>
      <w:r w:rsidRPr="004C1C03">
        <w:rPr>
          <w:rFonts w:ascii="Times New Roman" w:hAnsi="Times New Roman" w:cs="Times New Roman"/>
          <w:sz w:val="26"/>
          <w:szCs w:val="26"/>
        </w:rPr>
        <w:t>oposição</w:t>
      </w:r>
      <w:r w:rsidR="00DC4FE6" w:rsidRPr="004C1C03">
        <w:rPr>
          <w:rFonts w:ascii="Times New Roman" w:hAnsi="Times New Roman" w:cs="Times New Roman"/>
          <w:sz w:val="26"/>
          <w:szCs w:val="26"/>
        </w:rPr>
        <w:t>, de intervenção principal em caso de litisconsórcio voluntário</w:t>
      </w:r>
      <w:r w:rsidRPr="004C1C03">
        <w:rPr>
          <w:rFonts w:ascii="Times New Roman" w:hAnsi="Times New Roman" w:cs="Times New Roman"/>
          <w:sz w:val="26"/>
          <w:szCs w:val="26"/>
        </w:rPr>
        <w:t xml:space="preserve"> e intervenção acessória provocad</w:t>
      </w:r>
      <w:r w:rsidR="00DC4FE6" w:rsidRPr="004C1C03">
        <w:rPr>
          <w:rFonts w:ascii="Times New Roman" w:hAnsi="Times New Roman" w:cs="Times New Roman"/>
          <w:sz w:val="26"/>
          <w:szCs w:val="26"/>
        </w:rPr>
        <w:t>a</w:t>
      </w:r>
      <w:r w:rsidRPr="004C1C03">
        <w:rPr>
          <w:rFonts w:ascii="Times New Roman" w:hAnsi="Times New Roman" w:cs="Times New Roman"/>
          <w:sz w:val="26"/>
          <w:szCs w:val="26"/>
        </w:rPr>
        <w:t xml:space="preserve"> – são mecanismos que </w:t>
      </w:r>
      <w:r w:rsidR="00DC4FE6" w:rsidRPr="004C1C03">
        <w:rPr>
          <w:rFonts w:ascii="Times New Roman" w:hAnsi="Times New Roman" w:cs="Times New Roman"/>
          <w:sz w:val="26"/>
          <w:szCs w:val="26"/>
        </w:rPr>
        <w:t xml:space="preserve">pressupõem determinados requisitos cuja averiguação não se compadece com o “modus </w:t>
      </w:r>
      <w:proofErr w:type="spellStart"/>
      <w:r w:rsidR="00DC4FE6" w:rsidRPr="004C1C03">
        <w:rPr>
          <w:rFonts w:ascii="Times New Roman" w:hAnsi="Times New Roman" w:cs="Times New Roman"/>
          <w:sz w:val="26"/>
          <w:szCs w:val="26"/>
        </w:rPr>
        <w:t>operandi</w:t>
      </w:r>
      <w:proofErr w:type="spellEnd"/>
      <w:r w:rsidR="00DC4FE6" w:rsidRPr="004C1C03">
        <w:rPr>
          <w:rFonts w:ascii="Times New Roman" w:hAnsi="Times New Roman" w:cs="Times New Roman"/>
          <w:sz w:val="26"/>
          <w:szCs w:val="26"/>
        </w:rPr>
        <w:t>” do procedimental arbitral</w:t>
      </w:r>
      <w:r w:rsidR="00335335">
        <w:rPr>
          <w:rFonts w:ascii="Times New Roman" w:hAnsi="Times New Roman" w:cs="Times New Roman"/>
          <w:sz w:val="26"/>
          <w:szCs w:val="26"/>
        </w:rPr>
        <w:t>, envolvendo uma situação plural (de sujeitos) nem sempre fácil de gerir</w:t>
      </w:r>
      <w:r w:rsidR="00DC4FE6" w:rsidRPr="004C1C03">
        <w:rPr>
          <w:rFonts w:ascii="Times New Roman" w:hAnsi="Times New Roman" w:cs="Times New Roman"/>
          <w:sz w:val="26"/>
          <w:szCs w:val="26"/>
        </w:rPr>
        <w:t>.</w:t>
      </w:r>
    </w:p>
    <w:p w:rsidR="00DC4FE6" w:rsidRPr="004C1C03" w:rsidRDefault="00DC4FE6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C1C03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Pr="004C1C03">
        <w:rPr>
          <w:rFonts w:ascii="Times New Roman" w:hAnsi="Times New Roman" w:cs="Times New Roman"/>
          <w:sz w:val="26"/>
          <w:szCs w:val="26"/>
        </w:rPr>
        <w:t xml:space="preserve"> n.º 2 do artigo 24.º, convém repensar o que se dizer com “mandar realizar diligências”. São diligências probatórias?  (articular com o artigo 21.º)</w:t>
      </w:r>
    </w:p>
    <w:p w:rsidR="00DC4FE6" w:rsidRPr="004C1C03" w:rsidRDefault="00DC4FE6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C1C03">
        <w:rPr>
          <w:rFonts w:ascii="Times New Roman" w:hAnsi="Times New Roman" w:cs="Times New Roman"/>
          <w:sz w:val="26"/>
          <w:szCs w:val="26"/>
        </w:rPr>
        <w:t>no</w:t>
      </w:r>
      <w:proofErr w:type="gramEnd"/>
      <w:r w:rsidRPr="004C1C03">
        <w:rPr>
          <w:rFonts w:ascii="Times New Roman" w:hAnsi="Times New Roman" w:cs="Times New Roman"/>
          <w:sz w:val="26"/>
          <w:szCs w:val="26"/>
        </w:rPr>
        <w:t xml:space="preserve"> n.º 4 do artigo 24.º, a homologação </w:t>
      </w:r>
      <w:r w:rsidR="004C1C03" w:rsidRPr="004C1C03">
        <w:rPr>
          <w:rFonts w:ascii="Times New Roman" w:hAnsi="Times New Roman" w:cs="Times New Roman"/>
          <w:sz w:val="26"/>
          <w:szCs w:val="26"/>
        </w:rPr>
        <w:t>dev</w:t>
      </w:r>
      <w:r w:rsidR="00335335">
        <w:rPr>
          <w:rFonts w:ascii="Times New Roman" w:hAnsi="Times New Roman" w:cs="Times New Roman"/>
          <w:sz w:val="26"/>
          <w:szCs w:val="26"/>
        </w:rPr>
        <w:t>erá</w:t>
      </w:r>
      <w:r w:rsidR="004C1C03" w:rsidRPr="004C1C03">
        <w:rPr>
          <w:rFonts w:ascii="Times New Roman" w:hAnsi="Times New Roman" w:cs="Times New Roman"/>
          <w:sz w:val="26"/>
          <w:szCs w:val="26"/>
        </w:rPr>
        <w:t xml:space="preserve"> ter como referência o regime e </w:t>
      </w:r>
      <w:r w:rsidR="00335335">
        <w:rPr>
          <w:rFonts w:ascii="Times New Roman" w:hAnsi="Times New Roman" w:cs="Times New Roman"/>
          <w:sz w:val="26"/>
          <w:szCs w:val="26"/>
        </w:rPr>
        <w:t xml:space="preserve">os </w:t>
      </w:r>
      <w:r w:rsidR="004C1C03" w:rsidRPr="004C1C03">
        <w:rPr>
          <w:rFonts w:ascii="Times New Roman" w:hAnsi="Times New Roman" w:cs="Times New Roman"/>
          <w:sz w:val="26"/>
          <w:szCs w:val="26"/>
        </w:rPr>
        <w:t>requisitos da homologação do acordo de mediação.</w:t>
      </w:r>
    </w:p>
    <w:p w:rsidR="004C1C03" w:rsidRDefault="004C1C03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C0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4C1C03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4C1C03">
        <w:rPr>
          <w:rFonts w:ascii="Times New Roman" w:hAnsi="Times New Roman" w:cs="Times New Roman"/>
          <w:sz w:val="26"/>
          <w:szCs w:val="26"/>
        </w:rPr>
        <w:t xml:space="preserve"> n.º 9 do artigo 24.º pode suscitar dúvidas em torno do regime aplicável quando os documentos estão em poder da parte contrária ou de terceiro.</w:t>
      </w:r>
    </w:p>
    <w:p w:rsidR="00100B81" w:rsidRDefault="00100B81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B81" w:rsidRDefault="00100B81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Coimbra, fevereiro de 2024</w:t>
      </w:r>
    </w:p>
    <w:p w:rsidR="00335335" w:rsidRDefault="00335335" w:rsidP="003353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FE6" w:rsidRDefault="00DC4FE6" w:rsidP="00335335">
      <w:pPr>
        <w:ind w:firstLine="567"/>
        <w:rPr>
          <w:sz w:val="28"/>
          <w:szCs w:val="28"/>
        </w:rPr>
      </w:pPr>
    </w:p>
    <w:p w:rsidR="00DF4237" w:rsidRPr="002D263B" w:rsidRDefault="00DF4237" w:rsidP="00335335">
      <w:pPr>
        <w:ind w:firstLine="567"/>
        <w:rPr>
          <w:sz w:val="28"/>
          <w:szCs w:val="28"/>
        </w:rPr>
      </w:pPr>
    </w:p>
    <w:p w:rsidR="00100B81" w:rsidRPr="002D263B" w:rsidRDefault="00100B81">
      <w:pPr>
        <w:ind w:firstLine="567"/>
        <w:rPr>
          <w:sz w:val="28"/>
          <w:szCs w:val="28"/>
        </w:rPr>
      </w:pPr>
    </w:p>
    <w:sectPr w:rsidR="00100B81" w:rsidRPr="002D2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3B"/>
    <w:rsid w:val="00100B81"/>
    <w:rsid w:val="001C2BB5"/>
    <w:rsid w:val="002D263B"/>
    <w:rsid w:val="00335335"/>
    <w:rsid w:val="004C1C03"/>
    <w:rsid w:val="009D483C"/>
    <w:rsid w:val="00BC7178"/>
    <w:rsid w:val="00DC4FE6"/>
    <w:rsid w:val="00D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CAE1"/>
  <w15:chartTrackingRefBased/>
  <w15:docId w15:val="{CB731936-D41F-4B98-81ED-CE089FE3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MJCapelo</dc:creator>
  <cp:keywords/>
  <dc:description/>
  <cp:lastModifiedBy>MJCapelo</cp:lastModifiedBy>
  <cp:revision>3</cp:revision>
  <dcterms:created xsi:type="dcterms:W3CDTF">2024-02-14T09:48:00Z</dcterms:created>
  <dcterms:modified xsi:type="dcterms:W3CDTF">2024-02-14T10:46:00Z</dcterms:modified>
</cp:coreProperties>
</file>